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941" w:rsidRDefault="00EB2941"/>
    <w:p w:rsidR="002A6B02" w:rsidRDefault="002A6B02"/>
    <w:p w:rsidR="002A6B02" w:rsidRDefault="00095D5F">
      <w:r>
        <w:rPr>
          <w:noProof/>
        </w:rPr>
        <w:pict>
          <v:shapetype id="_x0000_t202" coordsize="21600,21600" o:spt="202" path="m,l,21600r21600,l21600,xe">
            <v:stroke joinstyle="miter"/>
            <v:path gradientshapeok="t" o:connecttype="rect"/>
          </v:shapetype>
          <v:shape id="_x0000_s1026" type="#_x0000_t202" style="position:absolute;margin-left:14.05pt;margin-top:8.65pt;width:463.7pt;height:143.25pt;z-index:251678720" filled="f" stroked="f">
            <v:textbox style="mso-next-textbox:#_x0000_s1026">
              <w:txbxContent>
                <w:p w:rsidR="006D42BC" w:rsidRPr="00305437" w:rsidRDefault="006D42BC" w:rsidP="00EB2941">
                  <w:pPr>
                    <w:pStyle w:val="TitleProposal"/>
                  </w:pPr>
                  <w:r>
                    <w:t>Southern Company’s 2012 Expected Unserved Energy Cost Study</w:t>
                  </w:r>
                </w:p>
                <w:p w:rsidR="006D42BC" w:rsidRDefault="006D42BC" w:rsidP="00EB2941">
                  <w:pPr>
                    <w:pStyle w:val="TitleAddress"/>
                  </w:pPr>
                  <w:r>
                    <w:t>June 2012</w:t>
                  </w:r>
                </w:p>
                <w:p w:rsidR="006D42BC" w:rsidRPr="000D67D1" w:rsidRDefault="006D42BC" w:rsidP="00EB2941">
                  <w:pPr>
                    <w:pStyle w:val="TitleAddress"/>
                  </w:pPr>
                  <w:r w:rsidRPr="00305437">
                    <w:t>Freeman, Sullivan &amp; Co</w:t>
                  </w:r>
                  <w:proofErr w:type="gramStart"/>
                  <w:r w:rsidRPr="00305437">
                    <w:t>.</w:t>
                  </w:r>
                  <w:proofErr w:type="gramEnd"/>
                  <w:r w:rsidRPr="00305437">
                    <w:br/>
                  </w:r>
                  <w:smartTag w:uri="urn:schemas-microsoft-com:office:smarttags" w:element="Street">
                    <w:smartTag w:uri="urn:schemas-microsoft-com:office:smarttags" w:element="address">
                      <w:r w:rsidRPr="00305437">
                        <w:t>101 Montgomery St.</w:t>
                      </w:r>
                    </w:smartTag>
                  </w:smartTag>
                  <w:r w:rsidRPr="00305437">
                    <w:t>, 15th Floor</w:t>
                  </w:r>
                  <w:r w:rsidRPr="00305437">
                    <w:br/>
                    <w:t>San Francisco, CA  94104</w:t>
                  </w:r>
                  <w:r>
                    <w:br/>
                    <w:t>fscgroup.com</w:t>
                  </w:r>
                  <w:r w:rsidRPr="000D67D1">
                    <w:tab/>
                  </w:r>
                </w:p>
              </w:txbxContent>
            </v:textbox>
          </v:shape>
        </w:pict>
      </w:r>
      <w:r w:rsidR="004E5D3E">
        <w:rPr>
          <w:noProof/>
        </w:rPr>
        <w:drawing>
          <wp:anchor distT="0" distB="0" distL="114300" distR="114300" simplePos="0" relativeHeight="251681792" behindDoc="1" locked="0" layoutInCell="1" allowOverlap="1">
            <wp:simplePos x="0" y="0"/>
            <wp:positionH relativeFrom="column">
              <wp:posOffset>156210</wp:posOffset>
            </wp:positionH>
            <wp:positionV relativeFrom="paragraph">
              <wp:posOffset>24130</wp:posOffset>
            </wp:positionV>
            <wp:extent cx="2004695" cy="1998980"/>
            <wp:effectExtent l="19050" t="0" r="0" b="0"/>
            <wp:wrapNone/>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2004695" cy="1998980"/>
                    </a:xfrm>
                    <a:prstGeom prst="rect">
                      <a:avLst/>
                    </a:prstGeom>
                    <a:noFill/>
                    <a:ln w="9525">
                      <a:noFill/>
                      <a:miter lim="800000"/>
                      <a:headEnd/>
                      <a:tailEnd/>
                    </a:ln>
                  </pic:spPr>
                </pic:pic>
              </a:graphicData>
            </a:graphic>
          </wp:anchor>
        </w:drawing>
      </w:r>
      <w:r w:rsidR="004E5D3E">
        <w:rPr>
          <w:noProof/>
        </w:rPr>
        <w:drawing>
          <wp:anchor distT="0" distB="0" distL="114300" distR="114300" simplePos="0" relativeHeight="251680768" behindDoc="1" locked="0" layoutInCell="1" allowOverlap="1">
            <wp:simplePos x="0" y="0"/>
            <wp:positionH relativeFrom="column">
              <wp:posOffset>2106930</wp:posOffset>
            </wp:positionH>
            <wp:positionV relativeFrom="paragraph">
              <wp:posOffset>24130</wp:posOffset>
            </wp:positionV>
            <wp:extent cx="2004695" cy="1998980"/>
            <wp:effectExtent l="19050" t="0" r="0" b="0"/>
            <wp:wrapNone/>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2004695" cy="1998980"/>
                    </a:xfrm>
                    <a:prstGeom prst="rect">
                      <a:avLst/>
                    </a:prstGeom>
                    <a:noFill/>
                    <a:ln w="9525">
                      <a:noFill/>
                      <a:miter lim="800000"/>
                      <a:headEnd/>
                      <a:tailEnd/>
                    </a:ln>
                  </pic:spPr>
                </pic:pic>
              </a:graphicData>
            </a:graphic>
          </wp:anchor>
        </w:drawing>
      </w:r>
      <w:r w:rsidR="004E5D3E">
        <w:rPr>
          <w:noProof/>
        </w:rPr>
        <w:drawing>
          <wp:anchor distT="0" distB="0" distL="114300" distR="114300" simplePos="0" relativeHeight="251682816" behindDoc="1" locked="0" layoutInCell="1" allowOverlap="1">
            <wp:simplePos x="0" y="0"/>
            <wp:positionH relativeFrom="column">
              <wp:posOffset>4093845</wp:posOffset>
            </wp:positionH>
            <wp:positionV relativeFrom="paragraph">
              <wp:posOffset>24130</wp:posOffset>
            </wp:positionV>
            <wp:extent cx="2004695" cy="1998980"/>
            <wp:effectExtent l="1905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2004695" cy="1998980"/>
                    </a:xfrm>
                    <a:prstGeom prst="rect">
                      <a:avLst/>
                    </a:prstGeom>
                    <a:noFill/>
                    <a:ln w="9525">
                      <a:noFill/>
                      <a:miter lim="800000"/>
                      <a:headEnd/>
                      <a:tailEnd/>
                    </a:ln>
                  </pic:spPr>
                </pic:pic>
              </a:graphicData>
            </a:graphic>
          </wp:anchor>
        </w:drawing>
      </w:r>
      <w:r w:rsidR="004E5D3E">
        <w:rPr>
          <w:noProof/>
        </w:rPr>
        <w:drawing>
          <wp:anchor distT="0" distB="0" distL="114300" distR="114300" simplePos="0" relativeHeight="251684864" behindDoc="0" locked="0" layoutInCell="1" allowOverlap="1">
            <wp:simplePos x="0" y="0"/>
            <wp:positionH relativeFrom="column">
              <wp:posOffset>4093845</wp:posOffset>
            </wp:positionH>
            <wp:positionV relativeFrom="paragraph">
              <wp:posOffset>1938020</wp:posOffset>
            </wp:positionV>
            <wp:extent cx="2004695" cy="2059940"/>
            <wp:effectExtent l="19050" t="0" r="0" b="0"/>
            <wp:wrapNone/>
            <wp:docPr id="11" name="Picture 50" descr="Solar Habita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Solar Habitat"/>
                    <pic:cNvPicPr>
                      <a:picLocks noChangeArrowheads="1"/>
                    </pic:cNvPicPr>
                  </pic:nvPicPr>
                  <pic:blipFill>
                    <a:blip r:embed="rId8" cstate="print"/>
                    <a:srcRect r="8057" b="14867"/>
                    <a:stretch>
                      <a:fillRect/>
                    </a:stretch>
                  </pic:blipFill>
                  <pic:spPr bwMode="auto">
                    <a:xfrm>
                      <a:off x="0" y="0"/>
                      <a:ext cx="2004695" cy="2059940"/>
                    </a:xfrm>
                    <a:prstGeom prst="rect">
                      <a:avLst/>
                    </a:prstGeom>
                    <a:noFill/>
                    <a:ln w="3175">
                      <a:miter lim="800000"/>
                      <a:headEnd/>
                      <a:tailEnd/>
                    </a:ln>
                  </pic:spPr>
                </pic:pic>
              </a:graphicData>
            </a:graphic>
          </wp:anchor>
        </w:drawing>
      </w:r>
    </w:p>
    <w:p w:rsidR="002A6B02" w:rsidRDefault="002A6B02"/>
    <w:p w:rsidR="002A6B02" w:rsidRDefault="002A6B02"/>
    <w:p w:rsidR="002A6B02" w:rsidRDefault="002A6B02"/>
    <w:p w:rsidR="002A6B02" w:rsidRDefault="002A6B02"/>
    <w:p w:rsidR="002A6B02" w:rsidRDefault="002A6B02"/>
    <w:p w:rsidR="002A6B02" w:rsidRDefault="004E5D3E">
      <w:r>
        <w:rPr>
          <w:noProof/>
        </w:rPr>
        <w:drawing>
          <wp:anchor distT="0" distB="0" distL="114300" distR="114300" simplePos="0" relativeHeight="251685888" behindDoc="0" locked="0" layoutInCell="1" allowOverlap="1">
            <wp:simplePos x="0" y="0"/>
            <wp:positionH relativeFrom="column">
              <wp:posOffset>155575</wp:posOffset>
            </wp:positionH>
            <wp:positionV relativeFrom="paragraph">
              <wp:posOffset>-3175</wp:posOffset>
            </wp:positionV>
            <wp:extent cx="1957705" cy="2062480"/>
            <wp:effectExtent l="19050" t="0" r="4445" b="0"/>
            <wp:wrapNone/>
            <wp:docPr id="13" name="Picture 48" descr="purple_power_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purple_power_line"/>
                    <pic:cNvPicPr>
                      <a:picLocks noChangeAspect="1" noChangeArrowheads="1"/>
                    </pic:cNvPicPr>
                  </pic:nvPicPr>
                  <pic:blipFill>
                    <a:blip r:embed="rId9" cstate="print"/>
                    <a:srcRect b="7161"/>
                    <a:stretch>
                      <a:fillRect/>
                    </a:stretch>
                  </pic:blipFill>
                  <pic:spPr bwMode="auto">
                    <a:xfrm>
                      <a:off x="0" y="0"/>
                      <a:ext cx="1957705" cy="2062480"/>
                    </a:xfrm>
                    <a:prstGeom prst="rect">
                      <a:avLst/>
                    </a:prstGeom>
                    <a:noFill/>
                    <a:ln w="3175">
                      <a:miter lim="800000"/>
                      <a:headEnd/>
                      <a:tailEnd/>
                    </a:ln>
                  </pic:spPr>
                </pic:pic>
              </a:graphicData>
            </a:graphic>
          </wp:anchor>
        </w:drawing>
      </w:r>
      <w:r>
        <w:rPr>
          <w:noProof/>
        </w:rPr>
        <w:drawing>
          <wp:anchor distT="0" distB="0" distL="114300" distR="114300" simplePos="0" relativeHeight="251677695" behindDoc="0" locked="0" layoutInCell="1" allowOverlap="1">
            <wp:simplePos x="0" y="0"/>
            <wp:positionH relativeFrom="column">
              <wp:posOffset>2065477</wp:posOffset>
            </wp:positionH>
            <wp:positionV relativeFrom="paragraph">
              <wp:posOffset>-2819</wp:posOffset>
            </wp:positionV>
            <wp:extent cx="2080413" cy="2062886"/>
            <wp:effectExtent l="19050" t="0" r="0" b="0"/>
            <wp:wrapNone/>
            <wp:docPr id="1" name="Picture 49" descr="new meter SS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new meter SSG"/>
                    <pic:cNvPicPr>
                      <a:picLocks noChangeArrowheads="1"/>
                    </pic:cNvPicPr>
                  </pic:nvPicPr>
                  <pic:blipFill>
                    <a:blip r:embed="rId10" cstate="print"/>
                    <a:srcRect l="-1276" t="4288" r="-2551" b="3430"/>
                    <a:stretch>
                      <a:fillRect/>
                    </a:stretch>
                  </pic:blipFill>
                  <pic:spPr bwMode="auto">
                    <a:xfrm>
                      <a:off x="0" y="0"/>
                      <a:ext cx="2080413" cy="2062886"/>
                    </a:xfrm>
                    <a:prstGeom prst="rect">
                      <a:avLst/>
                    </a:prstGeom>
                    <a:noFill/>
                    <a:ln w="3175">
                      <a:miter lim="800000"/>
                      <a:headEnd/>
                      <a:tailEnd/>
                    </a:ln>
                  </pic:spPr>
                </pic:pic>
              </a:graphicData>
            </a:graphic>
          </wp:anchor>
        </w:drawing>
      </w:r>
    </w:p>
    <w:p w:rsidR="002A6B02" w:rsidRDefault="002A6B02"/>
    <w:p w:rsidR="002A6B02" w:rsidRDefault="002A6B02"/>
    <w:p w:rsidR="002A6B02" w:rsidRDefault="002A6B02"/>
    <w:p w:rsidR="002A6B02" w:rsidRDefault="002A6B02"/>
    <w:p w:rsidR="00CF7B44" w:rsidRDefault="00CF7B44"/>
    <w:p w:rsidR="002A6B02" w:rsidRDefault="002A6B02"/>
    <w:p w:rsidR="0084569F" w:rsidRDefault="0084569F" w:rsidP="00305437">
      <w:pPr>
        <w:pStyle w:val="PreparedFor"/>
      </w:pPr>
    </w:p>
    <w:p w:rsidR="0084569F" w:rsidRDefault="0084569F" w:rsidP="00305437">
      <w:pPr>
        <w:pStyle w:val="PreparedFor"/>
      </w:pPr>
    </w:p>
    <w:p w:rsidR="002A6B02" w:rsidRDefault="002A6B02" w:rsidP="00305437">
      <w:pPr>
        <w:pStyle w:val="PreparedFor"/>
      </w:pPr>
      <w:r w:rsidRPr="00305437">
        <w:t>Prepared</w:t>
      </w:r>
      <w:r w:rsidRPr="000D67D1">
        <w:t xml:space="preserve"> for:</w:t>
      </w:r>
    </w:p>
    <w:p w:rsidR="00B34322" w:rsidRPr="00B34322" w:rsidRDefault="00B34322" w:rsidP="00B34322">
      <w:pPr>
        <w:pStyle w:val="PreparedForCompany"/>
      </w:pPr>
      <w:r w:rsidRPr="00B34322">
        <w:t>Don Brundage</w:t>
      </w:r>
      <w:r w:rsidRPr="00B34322">
        <w:br/>
        <w:t>Southern Company Services, Inc</w:t>
      </w:r>
      <w:proofErr w:type="gramStart"/>
      <w:r w:rsidRPr="00B34322">
        <w:t>.</w:t>
      </w:r>
      <w:proofErr w:type="gramEnd"/>
      <w:r w:rsidRPr="00B34322">
        <w:br/>
        <w:t>241 Ralph McGill Boulevard  NE</w:t>
      </w:r>
    </w:p>
    <w:p w:rsidR="001A71A9" w:rsidRDefault="00B34322" w:rsidP="00B34322">
      <w:pPr>
        <w:pStyle w:val="PreparedForCompany"/>
      </w:pPr>
      <w:r w:rsidRPr="00B34322">
        <w:t>Atlanta, GA  30308-3374</w:t>
      </w:r>
    </w:p>
    <w:p w:rsidR="001A71A9" w:rsidRDefault="001A71A9" w:rsidP="00305437">
      <w:pPr>
        <w:pStyle w:val="PreparedFor"/>
      </w:pPr>
      <w:r w:rsidRPr="000D67D1">
        <w:t xml:space="preserve">Prepared </w:t>
      </w:r>
      <w:r>
        <w:t>by</w:t>
      </w:r>
      <w:r w:rsidRPr="000D67D1">
        <w:t>:</w:t>
      </w:r>
    </w:p>
    <w:p w:rsidR="00305437" w:rsidRDefault="00B34322" w:rsidP="00305437">
      <w:pPr>
        <w:pStyle w:val="PreparedForCompany"/>
      </w:pPr>
      <w:r>
        <w:t>Michael Sullivan, Ph.D</w:t>
      </w:r>
      <w:proofErr w:type="gramStart"/>
      <w:r>
        <w:t>.</w:t>
      </w:r>
      <w:proofErr w:type="gramEnd"/>
      <w:r>
        <w:br/>
        <w:t xml:space="preserve">Josh </w:t>
      </w:r>
      <w:proofErr w:type="spellStart"/>
      <w:r>
        <w:t>Schellenberg</w:t>
      </w:r>
      <w:proofErr w:type="spellEnd"/>
      <w:r>
        <w:t>, M.A.</w:t>
      </w:r>
    </w:p>
    <w:p w:rsidR="00B34322" w:rsidRDefault="00B34322" w:rsidP="00305437">
      <w:pPr>
        <w:pStyle w:val="PreparedForCompany"/>
      </w:pPr>
      <w:r>
        <w:t xml:space="preserve">Jason </w:t>
      </w:r>
      <w:proofErr w:type="spellStart"/>
      <w:r>
        <w:t>Burwen</w:t>
      </w:r>
      <w:proofErr w:type="spellEnd"/>
      <w:r>
        <w:t>, M.P.P.</w:t>
      </w:r>
    </w:p>
    <w:p w:rsidR="002A6B02" w:rsidRDefault="001A71A9" w:rsidP="00305437">
      <w:pPr>
        <w:pStyle w:val="PreparedForCompany"/>
        <w:rPr>
          <w:rFonts w:cs="Arial"/>
          <w:spacing w:val="-2"/>
          <w:szCs w:val="22"/>
        </w:rPr>
      </w:pPr>
      <w:r>
        <w:t>Freeman, Sullivan &amp; Co</w:t>
      </w:r>
      <w:proofErr w:type="gramStart"/>
      <w:r>
        <w:t>.</w:t>
      </w:r>
      <w:proofErr w:type="gramEnd"/>
      <w:r w:rsidR="00AE636A">
        <w:br/>
        <w:t>fscgroup.com</w:t>
      </w:r>
    </w:p>
    <w:p w:rsidR="002A6B02" w:rsidRPr="00ED253C" w:rsidRDefault="002A6B02" w:rsidP="00305437">
      <w:pPr>
        <w:pStyle w:val="PreparedForCompany"/>
      </w:pPr>
    </w:p>
    <w:p w:rsidR="002A6B02" w:rsidRDefault="002A6B02" w:rsidP="002A6B02">
      <w:pPr>
        <w:spacing w:before="240"/>
        <w:rPr>
          <w:b/>
          <w:color w:val="433B67"/>
          <w:sz w:val="28"/>
          <w:szCs w:val="28"/>
        </w:rPr>
        <w:sectPr w:rsidR="002A6B02" w:rsidSect="00DB35F9">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pgNumType w:fmt="lowerRoman" w:start="1"/>
          <w:cols w:space="720"/>
          <w:titlePg/>
          <w:docGrid w:linePitch="360"/>
        </w:sectPr>
      </w:pPr>
    </w:p>
    <w:sdt>
      <w:sdtPr>
        <w:rPr>
          <w:rFonts w:asciiTheme="minorHAnsi" w:eastAsiaTheme="minorHAnsi" w:hAnsiTheme="minorHAnsi" w:cstheme="minorBidi"/>
          <w:b w:val="0"/>
          <w:color w:val="auto"/>
          <w:sz w:val="22"/>
          <w:szCs w:val="22"/>
        </w:rPr>
        <w:id w:val="1780305"/>
        <w:docPartObj>
          <w:docPartGallery w:val="Table of Contents"/>
          <w:docPartUnique/>
        </w:docPartObj>
      </w:sdtPr>
      <w:sdtContent>
        <w:p w:rsidR="001A71A9" w:rsidRDefault="001A71A9" w:rsidP="00DB35F9">
          <w:pPr>
            <w:pStyle w:val="TableofContents"/>
            <w:ind w:left="0"/>
          </w:pPr>
          <w:r>
            <w:t>Table of Contents</w:t>
          </w:r>
        </w:p>
        <w:p w:rsidR="005B3EEA" w:rsidRDefault="005B3EEA">
          <w:pPr>
            <w:pStyle w:val="TOC1"/>
            <w:rPr>
              <w:rFonts w:asciiTheme="minorHAnsi" w:eastAsiaTheme="minorEastAsia" w:hAnsiTheme="minorHAnsi" w:cstheme="minorBidi"/>
              <w:sz w:val="22"/>
              <w:szCs w:val="22"/>
            </w:rPr>
          </w:pPr>
          <w:r w:rsidRPr="000A3715">
            <w:t>1</w:t>
          </w:r>
          <w:r>
            <w:rPr>
              <w:rFonts w:asciiTheme="minorHAnsi" w:eastAsiaTheme="minorEastAsia" w:hAnsiTheme="minorHAnsi" w:cstheme="minorBidi"/>
              <w:sz w:val="22"/>
              <w:szCs w:val="22"/>
            </w:rPr>
            <w:tab/>
          </w:r>
          <w:r w:rsidRPr="000A3715">
            <w:t>Executive Summary</w:t>
          </w:r>
          <w:r>
            <w:rPr>
              <w:webHidden/>
            </w:rPr>
            <w:tab/>
          </w:r>
          <w:r w:rsidR="005A0C3F">
            <w:rPr>
              <w:webHidden/>
            </w:rPr>
            <w:t>1</w:t>
          </w:r>
        </w:p>
        <w:p w:rsidR="005B3EEA" w:rsidRDefault="005B3EEA">
          <w:pPr>
            <w:pStyle w:val="TOC2"/>
            <w:rPr>
              <w:rFonts w:asciiTheme="minorHAnsi" w:eastAsiaTheme="minorEastAsia" w:hAnsiTheme="minorHAnsi" w:cstheme="minorBidi"/>
              <w:sz w:val="22"/>
              <w:szCs w:val="22"/>
            </w:rPr>
          </w:pPr>
          <w:r w:rsidRPr="000A3715">
            <w:t>1.1</w:t>
          </w:r>
          <w:r>
            <w:rPr>
              <w:rFonts w:asciiTheme="minorHAnsi" w:eastAsiaTheme="minorEastAsia" w:hAnsiTheme="minorHAnsi" w:cstheme="minorBidi"/>
              <w:sz w:val="22"/>
              <w:szCs w:val="22"/>
            </w:rPr>
            <w:tab/>
          </w:r>
          <w:r w:rsidRPr="000A3715">
            <w:t>Response to Survey</w:t>
          </w:r>
          <w:r>
            <w:rPr>
              <w:webHidden/>
            </w:rPr>
            <w:tab/>
          </w:r>
          <w:r w:rsidR="005A0C3F">
            <w:rPr>
              <w:webHidden/>
            </w:rPr>
            <w:t>2</w:t>
          </w:r>
        </w:p>
        <w:p w:rsidR="005B3EEA" w:rsidRDefault="005B3EEA">
          <w:pPr>
            <w:pStyle w:val="TOC2"/>
            <w:rPr>
              <w:rFonts w:asciiTheme="minorHAnsi" w:eastAsiaTheme="minorEastAsia" w:hAnsiTheme="minorHAnsi" w:cstheme="minorBidi"/>
              <w:sz w:val="22"/>
              <w:szCs w:val="22"/>
            </w:rPr>
          </w:pPr>
          <w:r w:rsidRPr="000A3715">
            <w:t>1.2</w:t>
          </w:r>
          <w:r>
            <w:rPr>
              <w:rFonts w:asciiTheme="minorHAnsi" w:eastAsiaTheme="minorEastAsia" w:hAnsiTheme="minorHAnsi" w:cstheme="minorBidi"/>
              <w:sz w:val="22"/>
              <w:szCs w:val="22"/>
            </w:rPr>
            <w:tab/>
          </w:r>
          <w:r w:rsidRPr="000A3715">
            <w:t>Results for Single Outage Scenarios</w:t>
          </w:r>
          <w:r>
            <w:rPr>
              <w:webHidden/>
            </w:rPr>
            <w:tab/>
          </w:r>
          <w:r w:rsidR="005A0C3F">
            <w:rPr>
              <w:webHidden/>
            </w:rPr>
            <w:t>2</w:t>
          </w:r>
        </w:p>
        <w:p w:rsidR="005B3EEA" w:rsidRDefault="005B3EEA">
          <w:pPr>
            <w:pStyle w:val="TOC2"/>
            <w:rPr>
              <w:rFonts w:asciiTheme="minorHAnsi" w:eastAsiaTheme="minorEastAsia" w:hAnsiTheme="minorHAnsi" w:cstheme="minorBidi"/>
              <w:sz w:val="22"/>
              <w:szCs w:val="22"/>
            </w:rPr>
          </w:pPr>
          <w:r w:rsidRPr="000A3715">
            <w:t>1.3</w:t>
          </w:r>
          <w:r>
            <w:rPr>
              <w:rFonts w:asciiTheme="minorHAnsi" w:eastAsiaTheme="minorEastAsia" w:hAnsiTheme="minorHAnsi" w:cstheme="minorBidi"/>
              <w:sz w:val="22"/>
              <w:szCs w:val="22"/>
            </w:rPr>
            <w:tab/>
          </w:r>
          <w:r w:rsidRPr="000A3715">
            <w:t>Results for Multiple Outage Scenarios</w:t>
          </w:r>
          <w:r>
            <w:rPr>
              <w:webHidden/>
            </w:rPr>
            <w:tab/>
          </w:r>
          <w:r w:rsidR="005A0C3F">
            <w:rPr>
              <w:webHidden/>
            </w:rPr>
            <w:t>4</w:t>
          </w:r>
        </w:p>
        <w:p w:rsidR="005B3EEA" w:rsidRDefault="005B3EEA">
          <w:pPr>
            <w:pStyle w:val="TOC2"/>
            <w:rPr>
              <w:rFonts w:asciiTheme="minorHAnsi" w:eastAsiaTheme="minorEastAsia" w:hAnsiTheme="minorHAnsi" w:cstheme="minorBidi"/>
              <w:sz w:val="22"/>
              <w:szCs w:val="22"/>
            </w:rPr>
          </w:pPr>
          <w:r w:rsidRPr="000A3715">
            <w:t>1.4</w:t>
          </w:r>
          <w:r>
            <w:rPr>
              <w:rFonts w:asciiTheme="minorHAnsi" w:eastAsiaTheme="minorEastAsia" w:hAnsiTheme="minorHAnsi" w:cstheme="minorBidi"/>
              <w:sz w:val="22"/>
              <w:szCs w:val="22"/>
            </w:rPr>
            <w:tab/>
          </w:r>
          <w:r w:rsidRPr="000A3715">
            <w:t>Comparison to 1990 Outage Cost Study</w:t>
          </w:r>
          <w:r>
            <w:rPr>
              <w:webHidden/>
            </w:rPr>
            <w:tab/>
          </w:r>
          <w:r w:rsidR="005A0C3F">
            <w:rPr>
              <w:webHidden/>
            </w:rPr>
            <w:t>6</w:t>
          </w:r>
        </w:p>
        <w:p w:rsidR="005B3EEA" w:rsidRDefault="005B3EEA">
          <w:pPr>
            <w:pStyle w:val="TOC1"/>
            <w:rPr>
              <w:rFonts w:asciiTheme="minorHAnsi" w:eastAsiaTheme="minorEastAsia" w:hAnsiTheme="minorHAnsi" w:cstheme="minorBidi"/>
              <w:sz w:val="22"/>
              <w:szCs w:val="22"/>
            </w:rPr>
          </w:pPr>
          <w:r w:rsidRPr="000A3715">
            <w:t>2</w:t>
          </w:r>
          <w:r>
            <w:rPr>
              <w:rFonts w:asciiTheme="minorHAnsi" w:eastAsiaTheme="minorEastAsia" w:hAnsiTheme="minorHAnsi" w:cstheme="minorBidi"/>
              <w:sz w:val="22"/>
              <w:szCs w:val="22"/>
            </w:rPr>
            <w:tab/>
          </w:r>
          <w:r w:rsidRPr="000A3715">
            <w:t>Introduction</w:t>
          </w:r>
          <w:r>
            <w:rPr>
              <w:webHidden/>
            </w:rPr>
            <w:tab/>
          </w:r>
          <w:r w:rsidR="005A0C3F">
            <w:rPr>
              <w:webHidden/>
            </w:rPr>
            <w:t>7</w:t>
          </w:r>
        </w:p>
        <w:p w:rsidR="005B3EEA" w:rsidRDefault="005B3EEA">
          <w:pPr>
            <w:pStyle w:val="TOC2"/>
            <w:rPr>
              <w:rFonts w:asciiTheme="minorHAnsi" w:eastAsiaTheme="minorEastAsia" w:hAnsiTheme="minorHAnsi" w:cstheme="minorBidi"/>
              <w:sz w:val="22"/>
              <w:szCs w:val="22"/>
            </w:rPr>
          </w:pPr>
          <w:r w:rsidRPr="000A3715">
            <w:t>2.1</w:t>
          </w:r>
          <w:r>
            <w:rPr>
              <w:rFonts w:asciiTheme="minorHAnsi" w:eastAsiaTheme="minorEastAsia" w:hAnsiTheme="minorHAnsi" w:cstheme="minorBidi"/>
              <w:sz w:val="22"/>
              <w:szCs w:val="22"/>
            </w:rPr>
            <w:tab/>
          </w:r>
          <w:r w:rsidRPr="000A3715">
            <w:t>Evaluating Reliability Benefits</w:t>
          </w:r>
          <w:r>
            <w:rPr>
              <w:webHidden/>
            </w:rPr>
            <w:tab/>
          </w:r>
          <w:r w:rsidR="005A0C3F">
            <w:rPr>
              <w:webHidden/>
            </w:rPr>
            <w:t>7</w:t>
          </w:r>
        </w:p>
        <w:p w:rsidR="005B3EEA" w:rsidRDefault="005B3EEA">
          <w:pPr>
            <w:pStyle w:val="TOC2"/>
            <w:rPr>
              <w:rFonts w:asciiTheme="minorHAnsi" w:eastAsiaTheme="minorEastAsia" w:hAnsiTheme="minorHAnsi" w:cstheme="minorBidi"/>
              <w:sz w:val="22"/>
              <w:szCs w:val="22"/>
            </w:rPr>
          </w:pPr>
          <w:r w:rsidRPr="000A3715">
            <w:t>2.2</w:t>
          </w:r>
          <w:r>
            <w:rPr>
              <w:rFonts w:asciiTheme="minorHAnsi" w:eastAsiaTheme="minorEastAsia" w:hAnsiTheme="minorHAnsi" w:cstheme="minorBidi"/>
              <w:sz w:val="22"/>
              <w:szCs w:val="22"/>
            </w:rPr>
            <w:tab/>
          </w:r>
          <w:r w:rsidRPr="000A3715">
            <w:t>Study Methodology</w:t>
          </w:r>
          <w:r>
            <w:rPr>
              <w:webHidden/>
            </w:rPr>
            <w:tab/>
          </w:r>
          <w:r w:rsidR="005A0C3F">
            <w:rPr>
              <w:webHidden/>
            </w:rPr>
            <w:t>7</w:t>
          </w:r>
        </w:p>
        <w:p w:rsidR="005B3EEA" w:rsidRDefault="005B3EEA">
          <w:pPr>
            <w:pStyle w:val="TOC2"/>
            <w:rPr>
              <w:rFonts w:asciiTheme="minorHAnsi" w:eastAsiaTheme="minorEastAsia" w:hAnsiTheme="minorHAnsi" w:cstheme="minorBidi"/>
              <w:sz w:val="22"/>
              <w:szCs w:val="22"/>
            </w:rPr>
          </w:pPr>
          <w:r w:rsidRPr="000A3715">
            <w:t>2.3</w:t>
          </w:r>
          <w:r>
            <w:rPr>
              <w:rFonts w:asciiTheme="minorHAnsi" w:eastAsiaTheme="minorEastAsia" w:hAnsiTheme="minorHAnsi" w:cstheme="minorBidi"/>
              <w:sz w:val="22"/>
              <w:szCs w:val="22"/>
            </w:rPr>
            <w:tab/>
          </w:r>
          <w:r w:rsidRPr="000A3715">
            <w:t>Report Structure</w:t>
          </w:r>
          <w:r>
            <w:rPr>
              <w:webHidden/>
            </w:rPr>
            <w:tab/>
          </w:r>
          <w:r w:rsidR="005A0C3F">
            <w:rPr>
              <w:webHidden/>
            </w:rPr>
            <w:t>8</w:t>
          </w:r>
        </w:p>
        <w:p w:rsidR="005B3EEA" w:rsidRDefault="005B3EEA">
          <w:pPr>
            <w:pStyle w:val="TOC1"/>
            <w:rPr>
              <w:rFonts w:asciiTheme="minorHAnsi" w:eastAsiaTheme="minorEastAsia" w:hAnsiTheme="minorHAnsi" w:cstheme="minorBidi"/>
              <w:sz w:val="22"/>
              <w:szCs w:val="22"/>
            </w:rPr>
          </w:pPr>
          <w:r w:rsidRPr="000A3715">
            <w:t>3</w:t>
          </w:r>
          <w:r>
            <w:rPr>
              <w:rFonts w:asciiTheme="minorHAnsi" w:eastAsiaTheme="minorEastAsia" w:hAnsiTheme="minorHAnsi" w:cstheme="minorBidi"/>
              <w:sz w:val="22"/>
              <w:szCs w:val="22"/>
            </w:rPr>
            <w:tab/>
          </w:r>
          <w:r w:rsidRPr="000A3715">
            <w:t>Methodology</w:t>
          </w:r>
          <w:r>
            <w:rPr>
              <w:webHidden/>
            </w:rPr>
            <w:tab/>
          </w:r>
          <w:r w:rsidR="000A3715">
            <w:rPr>
              <w:webHidden/>
            </w:rPr>
            <w:t>9</w:t>
          </w:r>
        </w:p>
        <w:p w:rsidR="005B3EEA" w:rsidRDefault="005B3EEA">
          <w:pPr>
            <w:pStyle w:val="TOC2"/>
            <w:rPr>
              <w:rFonts w:asciiTheme="minorHAnsi" w:eastAsiaTheme="minorEastAsia" w:hAnsiTheme="minorHAnsi" w:cstheme="minorBidi"/>
              <w:sz w:val="22"/>
              <w:szCs w:val="22"/>
            </w:rPr>
          </w:pPr>
          <w:r w:rsidRPr="000A3715">
            <w:t>3.1</w:t>
          </w:r>
          <w:r>
            <w:rPr>
              <w:rFonts w:asciiTheme="minorHAnsi" w:eastAsiaTheme="minorEastAsia" w:hAnsiTheme="minorHAnsi" w:cstheme="minorBidi"/>
              <w:sz w:val="22"/>
              <w:szCs w:val="22"/>
            </w:rPr>
            <w:tab/>
          </w:r>
          <w:r w:rsidRPr="000A3715">
            <w:t>Survey Instrument Design</w:t>
          </w:r>
          <w:r>
            <w:rPr>
              <w:webHidden/>
            </w:rPr>
            <w:tab/>
          </w:r>
          <w:r w:rsidR="000A3715">
            <w:rPr>
              <w:webHidden/>
            </w:rPr>
            <w:t>9</w:t>
          </w:r>
        </w:p>
        <w:p w:rsidR="005B3EEA" w:rsidRDefault="005B3EEA">
          <w:pPr>
            <w:pStyle w:val="TOC2"/>
            <w:rPr>
              <w:rFonts w:asciiTheme="minorHAnsi" w:eastAsiaTheme="minorEastAsia" w:hAnsiTheme="minorHAnsi" w:cstheme="minorBidi"/>
              <w:sz w:val="22"/>
              <w:szCs w:val="22"/>
            </w:rPr>
          </w:pPr>
          <w:r w:rsidRPr="000A3715">
            <w:t>3.2</w:t>
          </w:r>
          <w:r>
            <w:rPr>
              <w:rFonts w:asciiTheme="minorHAnsi" w:eastAsiaTheme="minorEastAsia" w:hAnsiTheme="minorHAnsi" w:cstheme="minorBidi"/>
              <w:sz w:val="22"/>
              <w:szCs w:val="22"/>
            </w:rPr>
            <w:tab/>
          </w:r>
          <w:r w:rsidRPr="000A3715">
            <w:t>Sample Design</w:t>
          </w:r>
          <w:r>
            <w:rPr>
              <w:webHidden/>
            </w:rPr>
            <w:tab/>
          </w:r>
          <w:r w:rsidR="000A3715">
            <w:rPr>
              <w:webHidden/>
            </w:rPr>
            <w:t>11</w:t>
          </w:r>
        </w:p>
        <w:p w:rsidR="005B3EEA" w:rsidRDefault="005B3EEA">
          <w:pPr>
            <w:pStyle w:val="TOC3"/>
            <w:rPr>
              <w:rFonts w:asciiTheme="minorHAnsi" w:hAnsiTheme="minorHAnsi" w:cstheme="minorBidi"/>
              <w:sz w:val="22"/>
              <w:szCs w:val="22"/>
            </w:rPr>
          </w:pPr>
          <w:r w:rsidRPr="000A3715">
            <w:t>3.2.1</w:t>
          </w:r>
          <w:r>
            <w:rPr>
              <w:rFonts w:asciiTheme="minorHAnsi" w:hAnsiTheme="minorHAnsi" w:cstheme="minorBidi"/>
              <w:sz w:val="22"/>
              <w:szCs w:val="22"/>
            </w:rPr>
            <w:tab/>
          </w:r>
          <w:r w:rsidRPr="000A3715">
            <w:t>Residential Customers</w:t>
          </w:r>
          <w:r>
            <w:rPr>
              <w:webHidden/>
            </w:rPr>
            <w:tab/>
          </w:r>
          <w:r w:rsidR="000A3715">
            <w:rPr>
              <w:webHidden/>
            </w:rPr>
            <w:t>13</w:t>
          </w:r>
        </w:p>
        <w:p w:rsidR="005B3EEA" w:rsidRDefault="005B3EEA">
          <w:pPr>
            <w:pStyle w:val="TOC3"/>
            <w:rPr>
              <w:rFonts w:asciiTheme="minorHAnsi" w:hAnsiTheme="minorHAnsi" w:cstheme="minorBidi"/>
              <w:sz w:val="22"/>
              <w:szCs w:val="22"/>
            </w:rPr>
          </w:pPr>
          <w:r w:rsidRPr="000A3715">
            <w:t>3.2.2</w:t>
          </w:r>
          <w:r>
            <w:rPr>
              <w:rFonts w:asciiTheme="minorHAnsi" w:hAnsiTheme="minorHAnsi" w:cstheme="minorBidi"/>
              <w:sz w:val="22"/>
              <w:szCs w:val="22"/>
            </w:rPr>
            <w:tab/>
          </w:r>
          <w:r w:rsidRPr="000A3715">
            <w:t>Commercial Customers</w:t>
          </w:r>
          <w:r>
            <w:rPr>
              <w:webHidden/>
            </w:rPr>
            <w:tab/>
          </w:r>
          <w:r w:rsidR="000A3715">
            <w:rPr>
              <w:webHidden/>
            </w:rPr>
            <w:t>14</w:t>
          </w:r>
        </w:p>
        <w:p w:rsidR="005B3EEA" w:rsidRDefault="005B3EEA">
          <w:pPr>
            <w:pStyle w:val="TOC3"/>
            <w:rPr>
              <w:rFonts w:asciiTheme="minorHAnsi" w:hAnsiTheme="minorHAnsi" w:cstheme="minorBidi"/>
              <w:sz w:val="22"/>
              <w:szCs w:val="22"/>
            </w:rPr>
          </w:pPr>
          <w:r w:rsidRPr="000A3715">
            <w:t>3.2.3</w:t>
          </w:r>
          <w:r>
            <w:rPr>
              <w:rFonts w:asciiTheme="minorHAnsi" w:hAnsiTheme="minorHAnsi" w:cstheme="minorBidi"/>
              <w:sz w:val="22"/>
              <w:szCs w:val="22"/>
            </w:rPr>
            <w:tab/>
          </w:r>
          <w:r w:rsidRPr="000A3715">
            <w:t>Industrial Customers</w:t>
          </w:r>
          <w:r>
            <w:rPr>
              <w:webHidden/>
            </w:rPr>
            <w:tab/>
          </w:r>
          <w:r w:rsidR="000A3715">
            <w:rPr>
              <w:webHidden/>
            </w:rPr>
            <w:t>15</w:t>
          </w:r>
        </w:p>
        <w:p w:rsidR="005B3EEA" w:rsidRDefault="005B3EEA">
          <w:pPr>
            <w:pStyle w:val="TOC3"/>
            <w:rPr>
              <w:rFonts w:asciiTheme="minorHAnsi" w:hAnsiTheme="minorHAnsi" w:cstheme="minorBidi"/>
              <w:sz w:val="22"/>
              <w:szCs w:val="22"/>
            </w:rPr>
          </w:pPr>
          <w:r w:rsidRPr="000A3715">
            <w:t>3.2.4</w:t>
          </w:r>
          <w:r>
            <w:rPr>
              <w:rFonts w:asciiTheme="minorHAnsi" w:hAnsiTheme="minorHAnsi" w:cstheme="minorBidi"/>
              <w:sz w:val="22"/>
              <w:szCs w:val="22"/>
            </w:rPr>
            <w:tab/>
          </w:r>
          <w:r w:rsidRPr="000A3715">
            <w:t>Large Business Customers</w:t>
          </w:r>
          <w:r>
            <w:rPr>
              <w:webHidden/>
            </w:rPr>
            <w:tab/>
          </w:r>
          <w:r w:rsidR="000A3715">
            <w:rPr>
              <w:webHidden/>
            </w:rPr>
            <w:t>16</w:t>
          </w:r>
        </w:p>
        <w:p w:rsidR="005B3EEA" w:rsidRDefault="005B3EEA">
          <w:pPr>
            <w:pStyle w:val="TOC2"/>
            <w:rPr>
              <w:rFonts w:asciiTheme="minorHAnsi" w:eastAsiaTheme="minorEastAsia" w:hAnsiTheme="minorHAnsi" w:cstheme="minorBidi"/>
              <w:sz w:val="22"/>
              <w:szCs w:val="22"/>
            </w:rPr>
          </w:pPr>
          <w:r w:rsidRPr="000A3715">
            <w:t>3.3</w:t>
          </w:r>
          <w:r>
            <w:rPr>
              <w:rFonts w:asciiTheme="minorHAnsi" w:eastAsiaTheme="minorEastAsia" w:hAnsiTheme="minorHAnsi" w:cstheme="minorBidi"/>
              <w:sz w:val="22"/>
              <w:szCs w:val="22"/>
            </w:rPr>
            <w:tab/>
          </w:r>
          <w:r w:rsidRPr="000A3715">
            <w:t>Data Collection Procedures</w:t>
          </w:r>
          <w:r>
            <w:rPr>
              <w:webHidden/>
            </w:rPr>
            <w:tab/>
          </w:r>
          <w:r w:rsidR="000A3715">
            <w:rPr>
              <w:webHidden/>
            </w:rPr>
            <w:t>16</w:t>
          </w:r>
        </w:p>
        <w:p w:rsidR="005B3EEA" w:rsidRDefault="005B3EEA">
          <w:pPr>
            <w:pStyle w:val="TOC3"/>
            <w:rPr>
              <w:rFonts w:asciiTheme="minorHAnsi" w:hAnsiTheme="minorHAnsi" w:cstheme="minorBidi"/>
              <w:sz w:val="22"/>
              <w:szCs w:val="22"/>
            </w:rPr>
          </w:pPr>
          <w:r w:rsidRPr="000A3715">
            <w:t>3.3.1</w:t>
          </w:r>
          <w:r>
            <w:rPr>
              <w:rFonts w:asciiTheme="minorHAnsi" w:hAnsiTheme="minorHAnsi" w:cstheme="minorBidi"/>
              <w:sz w:val="22"/>
              <w:szCs w:val="22"/>
            </w:rPr>
            <w:tab/>
          </w:r>
          <w:r w:rsidRPr="000A3715">
            <w:t>Residential Customers</w:t>
          </w:r>
          <w:r>
            <w:rPr>
              <w:webHidden/>
            </w:rPr>
            <w:tab/>
          </w:r>
          <w:r w:rsidR="000A3715">
            <w:rPr>
              <w:webHidden/>
            </w:rPr>
            <w:t>16</w:t>
          </w:r>
        </w:p>
        <w:p w:rsidR="005B3EEA" w:rsidRDefault="005B3EEA">
          <w:pPr>
            <w:pStyle w:val="TOC3"/>
            <w:rPr>
              <w:rFonts w:asciiTheme="minorHAnsi" w:hAnsiTheme="minorHAnsi" w:cstheme="minorBidi"/>
              <w:sz w:val="22"/>
              <w:szCs w:val="22"/>
            </w:rPr>
          </w:pPr>
          <w:r w:rsidRPr="000A3715">
            <w:t>3.3.2</w:t>
          </w:r>
          <w:r>
            <w:rPr>
              <w:rFonts w:asciiTheme="minorHAnsi" w:hAnsiTheme="minorHAnsi" w:cstheme="minorBidi"/>
              <w:sz w:val="22"/>
              <w:szCs w:val="22"/>
            </w:rPr>
            <w:tab/>
          </w:r>
          <w:r w:rsidRPr="000A3715">
            <w:t>Commercial Customers</w:t>
          </w:r>
          <w:r>
            <w:rPr>
              <w:webHidden/>
            </w:rPr>
            <w:tab/>
          </w:r>
          <w:r w:rsidR="000A3715">
            <w:rPr>
              <w:webHidden/>
            </w:rPr>
            <w:t>17</w:t>
          </w:r>
        </w:p>
        <w:p w:rsidR="005B3EEA" w:rsidRDefault="005B3EEA">
          <w:pPr>
            <w:pStyle w:val="TOC3"/>
            <w:rPr>
              <w:rFonts w:asciiTheme="minorHAnsi" w:hAnsiTheme="minorHAnsi" w:cstheme="minorBidi"/>
              <w:sz w:val="22"/>
              <w:szCs w:val="22"/>
            </w:rPr>
          </w:pPr>
          <w:r w:rsidRPr="000A3715">
            <w:t>3.3.3</w:t>
          </w:r>
          <w:r>
            <w:rPr>
              <w:rFonts w:asciiTheme="minorHAnsi" w:hAnsiTheme="minorHAnsi" w:cstheme="minorBidi"/>
              <w:sz w:val="22"/>
              <w:szCs w:val="22"/>
            </w:rPr>
            <w:tab/>
          </w:r>
          <w:r w:rsidRPr="000A3715">
            <w:t>Industrial Customers</w:t>
          </w:r>
          <w:r>
            <w:rPr>
              <w:webHidden/>
            </w:rPr>
            <w:tab/>
          </w:r>
          <w:r w:rsidR="000A3715">
            <w:rPr>
              <w:webHidden/>
            </w:rPr>
            <w:t>17</w:t>
          </w:r>
        </w:p>
        <w:p w:rsidR="005B3EEA" w:rsidRDefault="005B3EEA">
          <w:pPr>
            <w:pStyle w:val="TOC3"/>
            <w:rPr>
              <w:rFonts w:asciiTheme="minorHAnsi" w:hAnsiTheme="minorHAnsi" w:cstheme="minorBidi"/>
              <w:sz w:val="22"/>
              <w:szCs w:val="22"/>
            </w:rPr>
          </w:pPr>
          <w:r w:rsidRPr="000A3715">
            <w:t>3.3.4</w:t>
          </w:r>
          <w:r>
            <w:rPr>
              <w:rFonts w:asciiTheme="minorHAnsi" w:hAnsiTheme="minorHAnsi" w:cstheme="minorBidi"/>
              <w:sz w:val="22"/>
              <w:szCs w:val="22"/>
            </w:rPr>
            <w:tab/>
          </w:r>
          <w:r w:rsidRPr="000A3715">
            <w:t>Large Business Customers</w:t>
          </w:r>
          <w:r>
            <w:rPr>
              <w:webHidden/>
            </w:rPr>
            <w:tab/>
          </w:r>
          <w:r w:rsidR="000A3715">
            <w:rPr>
              <w:webHidden/>
            </w:rPr>
            <w:t>18</w:t>
          </w:r>
        </w:p>
        <w:p w:rsidR="005B3EEA" w:rsidRDefault="005B3EEA">
          <w:pPr>
            <w:pStyle w:val="TOC1"/>
            <w:rPr>
              <w:rFonts w:asciiTheme="minorHAnsi" w:eastAsiaTheme="minorEastAsia" w:hAnsiTheme="minorHAnsi" w:cstheme="minorBidi"/>
              <w:sz w:val="22"/>
              <w:szCs w:val="22"/>
            </w:rPr>
          </w:pPr>
          <w:r w:rsidRPr="000A3715">
            <w:t>4</w:t>
          </w:r>
          <w:r>
            <w:rPr>
              <w:rFonts w:asciiTheme="minorHAnsi" w:eastAsiaTheme="minorEastAsia" w:hAnsiTheme="minorHAnsi" w:cstheme="minorBidi"/>
              <w:sz w:val="22"/>
              <w:szCs w:val="22"/>
            </w:rPr>
            <w:tab/>
          </w:r>
          <w:r w:rsidRPr="000A3715">
            <w:t>Results</w:t>
          </w:r>
          <w:r>
            <w:rPr>
              <w:webHidden/>
            </w:rPr>
            <w:tab/>
          </w:r>
          <w:r w:rsidR="000A3715">
            <w:rPr>
              <w:webHidden/>
            </w:rPr>
            <w:t>19</w:t>
          </w:r>
        </w:p>
        <w:p w:rsidR="005B3EEA" w:rsidRDefault="005B3EEA">
          <w:pPr>
            <w:pStyle w:val="TOC2"/>
            <w:rPr>
              <w:rFonts w:asciiTheme="minorHAnsi" w:eastAsiaTheme="minorEastAsia" w:hAnsiTheme="minorHAnsi" w:cstheme="minorBidi"/>
              <w:sz w:val="22"/>
              <w:szCs w:val="22"/>
            </w:rPr>
          </w:pPr>
          <w:r w:rsidRPr="000A3715">
            <w:t>4.1</w:t>
          </w:r>
          <w:r>
            <w:rPr>
              <w:rFonts w:asciiTheme="minorHAnsi" w:eastAsiaTheme="minorEastAsia" w:hAnsiTheme="minorHAnsi" w:cstheme="minorBidi"/>
              <w:sz w:val="22"/>
              <w:szCs w:val="22"/>
            </w:rPr>
            <w:tab/>
          </w:r>
          <w:r w:rsidRPr="000A3715">
            <w:t>Residential Customers</w:t>
          </w:r>
          <w:r>
            <w:rPr>
              <w:webHidden/>
            </w:rPr>
            <w:tab/>
          </w:r>
          <w:r w:rsidR="000A3715">
            <w:rPr>
              <w:webHidden/>
            </w:rPr>
            <w:t>21</w:t>
          </w:r>
        </w:p>
        <w:p w:rsidR="005B3EEA" w:rsidRDefault="005B3EEA">
          <w:pPr>
            <w:pStyle w:val="TOC3"/>
            <w:rPr>
              <w:rFonts w:asciiTheme="minorHAnsi" w:hAnsiTheme="minorHAnsi" w:cstheme="minorBidi"/>
              <w:sz w:val="22"/>
              <w:szCs w:val="22"/>
            </w:rPr>
          </w:pPr>
          <w:r w:rsidRPr="000A3715">
            <w:t>4.1.1</w:t>
          </w:r>
          <w:r>
            <w:rPr>
              <w:rFonts w:asciiTheme="minorHAnsi" w:hAnsiTheme="minorHAnsi" w:cstheme="minorBidi"/>
              <w:sz w:val="22"/>
              <w:szCs w:val="22"/>
            </w:rPr>
            <w:tab/>
          </w:r>
          <w:r w:rsidRPr="000A3715">
            <w:t>Response to Survey</w:t>
          </w:r>
          <w:r>
            <w:rPr>
              <w:webHidden/>
            </w:rPr>
            <w:tab/>
          </w:r>
          <w:r w:rsidR="000A3715">
            <w:rPr>
              <w:webHidden/>
            </w:rPr>
            <w:t>21</w:t>
          </w:r>
        </w:p>
        <w:p w:rsidR="005B3EEA" w:rsidRDefault="005B3EEA">
          <w:pPr>
            <w:pStyle w:val="TOC3"/>
            <w:rPr>
              <w:rFonts w:asciiTheme="minorHAnsi" w:hAnsiTheme="minorHAnsi" w:cstheme="minorBidi"/>
              <w:sz w:val="22"/>
              <w:szCs w:val="22"/>
            </w:rPr>
          </w:pPr>
          <w:r w:rsidRPr="000A3715">
            <w:t>4.1.2</w:t>
          </w:r>
          <w:r>
            <w:rPr>
              <w:rFonts w:asciiTheme="minorHAnsi" w:hAnsiTheme="minorHAnsi" w:cstheme="minorBidi"/>
              <w:sz w:val="22"/>
              <w:szCs w:val="22"/>
            </w:rPr>
            <w:tab/>
          </w:r>
          <w:r w:rsidRPr="000A3715">
            <w:t>Single Outage Scenarios</w:t>
          </w:r>
          <w:r>
            <w:rPr>
              <w:webHidden/>
            </w:rPr>
            <w:tab/>
          </w:r>
          <w:r w:rsidR="000A3715">
            <w:rPr>
              <w:webHidden/>
            </w:rPr>
            <w:t>23</w:t>
          </w:r>
        </w:p>
        <w:p w:rsidR="005B3EEA" w:rsidRDefault="005B3EEA">
          <w:pPr>
            <w:pStyle w:val="TOC3"/>
            <w:rPr>
              <w:rFonts w:asciiTheme="minorHAnsi" w:hAnsiTheme="minorHAnsi" w:cstheme="minorBidi"/>
              <w:sz w:val="22"/>
              <w:szCs w:val="22"/>
            </w:rPr>
          </w:pPr>
          <w:r w:rsidRPr="000A3715">
            <w:t>4.1.3</w:t>
          </w:r>
          <w:r>
            <w:rPr>
              <w:rFonts w:asciiTheme="minorHAnsi" w:hAnsiTheme="minorHAnsi" w:cstheme="minorBidi"/>
              <w:sz w:val="22"/>
              <w:szCs w:val="22"/>
            </w:rPr>
            <w:tab/>
          </w:r>
          <w:r w:rsidRPr="000A3715">
            <w:t>Multiple Outage Scenarios</w:t>
          </w:r>
          <w:r>
            <w:rPr>
              <w:webHidden/>
            </w:rPr>
            <w:tab/>
          </w:r>
          <w:r w:rsidR="000A3715">
            <w:rPr>
              <w:webHidden/>
            </w:rPr>
            <w:t>24</w:t>
          </w:r>
        </w:p>
        <w:p w:rsidR="005B3EEA" w:rsidRDefault="005B3EEA">
          <w:pPr>
            <w:pStyle w:val="TOC2"/>
            <w:rPr>
              <w:rFonts w:asciiTheme="minorHAnsi" w:eastAsiaTheme="minorEastAsia" w:hAnsiTheme="minorHAnsi" w:cstheme="minorBidi"/>
              <w:sz w:val="22"/>
              <w:szCs w:val="22"/>
            </w:rPr>
          </w:pPr>
          <w:r w:rsidRPr="000A3715">
            <w:t>4.2</w:t>
          </w:r>
          <w:r>
            <w:rPr>
              <w:rFonts w:asciiTheme="minorHAnsi" w:eastAsiaTheme="minorEastAsia" w:hAnsiTheme="minorHAnsi" w:cstheme="minorBidi"/>
              <w:sz w:val="22"/>
              <w:szCs w:val="22"/>
            </w:rPr>
            <w:tab/>
          </w:r>
          <w:r w:rsidRPr="000A3715">
            <w:t>Commercial Customers</w:t>
          </w:r>
          <w:r>
            <w:rPr>
              <w:webHidden/>
            </w:rPr>
            <w:tab/>
          </w:r>
          <w:r w:rsidR="000A3715">
            <w:rPr>
              <w:webHidden/>
            </w:rPr>
            <w:t>25</w:t>
          </w:r>
        </w:p>
        <w:p w:rsidR="005B3EEA" w:rsidRDefault="005B3EEA">
          <w:pPr>
            <w:pStyle w:val="TOC3"/>
            <w:rPr>
              <w:rFonts w:asciiTheme="minorHAnsi" w:hAnsiTheme="minorHAnsi" w:cstheme="minorBidi"/>
              <w:sz w:val="22"/>
              <w:szCs w:val="22"/>
            </w:rPr>
          </w:pPr>
          <w:r w:rsidRPr="000A3715">
            <w:t>4.2.1</w:t>
          </w:r>
          <w:r>
            <w:rPr>
              <w:rFonts w:asciiTheme="minorHAnsi" w:hAnsiTheme="minorHAnsi" w:cstheme="minorBidi"/>
              <w:sz w:val="22"/>
              <w:szCs w:val="22"/>
            </w:rPr>
            <w:tab/>
          </w:r>
          <w:r w:rsidRPr="000A3715">
            <w:t>Response to Survey</w:t>
          </w:r>
          <w:r>
            <w:rPr>
              <w:webHidden/>
            </w:rPr>
            <w:tab/>
          </w:r>
          <w:r w:rsidR="000A3715">
            <w:rPr>
              <w:webHidden/>
            </w:rPr>
            <w:t>25</w:t>
          </w:r>
        </w:p>
        <w:p w:rsidR="005B3EEA" w:rsidRDefault="005B3EEA">
          <w:pPr>
            <w:pStyle w:val="TOC3"/>
            <w:rPr>
              <w:rFonts w:asciiTheme="minorHAnsi" w:hAnsiTheme="minorHAnsi" w:cstheme="minorBidi"/>
              <w:sz w:val="22"/>
              <w:szCs w:val="22"/>
            </w:rPr>
          </w:pPr>
          <w:r w:rsidRPr="000A3715">
            <w:t>4.2.2</w:t>
          </w:r>
          <w:r>
            <w:rPr>
              <w:rFonts w:asciiTheme="minorHAnsi" w:hAnsiTheme="minorHAnsi" w:cstheme="minorBidi"/>
              <w:sz w:val="22"/>
              <w:szCs w:val="22"/>
            </w:rPr>
            <w:tab/>
          </w:r>
          <w:r w:rsidRPr="000A3715">
            <w:t>Single Outage Scenarios</w:t>
          </w:r>
          <w:r>
            <w:rPr>
              <w:webHidden/>
            </w:rPr>
            <w:tab/>
          </w:r>
          <w:r w:rsidR="000A3715">
            <w:rPr>
              <w:webHidden/>
            </w:rPr>
            <w:t>27</w:t>
          </w:r>
        </w:p>
        <w:p w:rsidR="005B3EEA" w:rsidRDefault="005B3EEA">
          <w:pPr>
            <w:pStyle w:val="TOC3"/>
            <w:rPr>
              <w:rFonts w:asciiTheme="minorHAnsi" w:hAnsiTheme="minorHAnsi" w:cstheme="minorBidi"/>
              <w:sz w:val="22"/>
              <w:szCs w:val="22"/>
            </w:rPr>
          </w:pPr>
          <w:r w:rsidRPr="000A3715">
            <w:t>4.2.3</w:t>
          </w:r>
          <w:r>
            <w:rPr>
              <w:rFonts w:asciiTheme="minorHAnsi" w:hAnsiTheme="minorHAnsi" w:cstheme="minorBidi"/>
              <w:sz w:val="22"/>
              <w:szCs w:val="22"/>
            </w:rPr>
            <w:tab/>
          </w:r>
          <w:r w:rsidRPr="000A3715">
            <w:t>Multiple Outage Scenarios</w:t>
          </w:r>
          <w:r>
            <w:rPr>
              <w:webHidden/>
            </w:rPr>
            <w:tab/>
          </w:r>
          <w:r w:rsidR="000A3715">
            <w:rPr>
              <w:webHidden/>
            </w:rPr>
            <w:t>28</w:t>
          </w:r>
        </w:p>
        <w:p w:rsidR="005B3EEA" w:rsidRDefault="005B3EEA">
          <w:pPr>
            <w:pStyle w:val="TOC2"/>
            <w:rPr>
              <w:rFonts w:asciiTheme="minorHAnsi" w:eastAsiaTheme="minorEastAsia" w:hAnsiTheme="minorHAnsi" w:cstheme="minorBidi"/>
              <w:sz w:val="22"/>
              <w:szCs w:val="22"/>
            </w:rPr>
          </w:pPr>
          <w:r w:rsidRPr="000A3715">
            <w:lastRenderedPageBreak/>
            <w:t>4.3</w:t>
          </w:r>
          <w:r>
            <w:rPr>
              <w:rFonts w:asciiTheme="minorHAnsi" w:eastAsiaTheme="minorEastAsia" w:hAnsiTheme="minorHAnsi" w:cstheme="minorBidi"/>
              <w:sz w:val="22"/>
              <w:szCs w:val="22"/>
            </w:rPr>
            <w:tab/>
          </w:r>
          <w:r w:rsidRPr="000A3715">
            <w:t>Industrial Customers</w:t>
          </w:r>
          <w:r>
            <w:rPr>
              <w:webHidden/>
            </w:rPr>
            <w:tab/>
          </w:r>
          <w:r w:rsidR="000A3715">
            <w:rPr>
              <w:webHidden/>
            </w:rPr>
            <w:t>29</w:t>
          </w:r>
        </w:p>
        <w:p w:rsidR="005B3EEA" w:rsidRDefault="005B3EEA">
          <w:pPr>
            <w:pStyle w:val="TOC3"/>
            <w:rPr>
              <w:rFonts w:asciiTheme="minorHAnsi" w:hAnsiTheme="minorHAnsi" w:cstheme="minorBidi"/>
              <w:sz w:val="22"/>
              <w:szCs w:val="22"/>
            </w:rPr>
          </w:pPr>
          <w:r w:rsidRPr="000A3715">
            <w:t>4.3.1</w:t>
          </w:r>
          <w:r>
            <w:rPr>
              <w:rFonts w:asciiTheme="minorHAnsi" w:hAnsiTheme="minorHAnsi" w:cstheme="minorBidi"/>
              <w:sz w:val="22"/>
              <w:szCs w:val="22"/>
            </w:rPr>
            <w:tab/>
          </w:r>
          <w:r w:rsidRPr="000A3715">
            <w:t>Response to Survey</w:t>
          </w:r>
          <w:r>
            <w:rPr>
              <w:webHidden/>
            </w:rPr>
            <w:tab/>
          </w:r>
          <w:r w:rsidR="000A3715">
            <w:rPr>
              <w:webHidden/>
            </w:rPr>
            <w:t>29</w:t>
          </w:r>
        </w:p>
        <w:p w:rsidR="005B3EEA" w:rsidRDefault="005B3EEA">
          <w:pPr>
            <w:pStyle w:val="TOC3"/>
            <w:rPr>
              <w:rFonts w:asciiTheme="minorHAnsi" w:hAnsiTheme="minorHAnsi" w:cstheme="minorBidi"/>
              <w:sz w:val="22"/>
              <w:szCs w:val="22"/>
            </w:rPr>
          </w:pPr>
          <w:r w:rsidRPr="000A3715">
            <w:t>4.3.2</w:t>
          </w:r>
          <w:r>
            <w:rPr>
              <w:rFonts w:asciiTheme="minorHAnsi" w:hAnsiTheme="minorHAnsi" w:cstheme="minorBidi"/>
              <w:sz w:val="22"/>
              <w:szCs w:val="22"/>
            </w:rPr>
            <w:tab/>
          </w:r>
          <w:r w:rsidRPr="000A3715">
            <w:t>Single Outage Scenarios</w:t>
          </w:r>
          <w:r>
            <w:rPr>
              <w:webHidden/>
            </w:rPr>
            <w:tab/>
          </w:r>
          <w:r w:rsidR="000A3715">
            <w:rPr>
              <w:webHidden/>
            </w:rPr>
            <w:t>30</w:t>
          </w:r>
        </w:p>
        <w:p w:rsidR="005B3EEA" w:rsidRDefault="005B3EEA">
          <w:pPr>
            <w:pStyle w:val="TOC3"/>
            <w:rPr>
              <w:rFonts w:asciiTheme="minorHAnsi" w:hAnsiTheme="minorHAnsi" w:cstheme="minorBidi"/>
              <w:sz w:val="22"/>
              <w:szCs w:val="22"/>
            </w:rPr>
          </w:pPr>
          <w:r w:rsidRPr="000A3715">
            <w:t>4.3.3</w:t>
          </w:r>
          <w:r>
            <w:rPr>
              <w:rFonts w:asciiTheme="minorHAnsi" w:hAnsiTheme="minorHAnsi" w:cstheme="minorBidi"/>
              <w:sz w:val="22"/>
              <w:szCs w:val="22"/>
            </w:rPr>
            <w:tab/>
          </w:r>
          <w:r w:rsidRPr="000A3715">
            <w:t>Multiple Outage Scenarios</w:t>
          </w:r>
          <w:r>
            <w:rPr>
              <w:webHidden/>
            </w:rPr>
            <w:tab/>
          </w:r>
          <w:r w:rsidR="000A3715">
            <w:rPr>
              <w:webHidden/>
            </w:rPr>
            <w:t>32</w:t>
          </w:r>
        </w:p>
        <w:p w:rsidR="005B3EEA" w:rsidRDefault="005B3EEA">
          <w:pPr>
            <w:pStyle w:val="TOC2"/>
            <w:rPr>
              <w:rFonts w:asciiTheme="minorHAnsi" w:eastAsiaTheme="minorEastAsia" w:hAnsiTheme="minorHAnsi" w:cstheme="minorBidi"/>
              <w:sz w:val="22"/>
              <w:szCs w:val="22"/>
            </w:rPr>
          </w:pPr>
          <w:r w:rsidRPr="000A3715">
            <w:t>4.4</w:t>
          </w:r>
          <w:r>
            <w:rPr>
              <w:rFonts w:asciiTheme="minorHAnsi" w:eastAsiaTheme="minorEastAsia" w:hAnsiTheme="minorHAnsi" w:cstheme="minorBidi"/>
              <w:sz w:val="22"/>
              <w:szCs w:val="22"/>
            </w:rPr>
            <w:tab/>
          </w:r>
          <w:r w:rsidRPr="000A3715">
            <w:t>Large Business Customers</w:t>
          </w:r>
          <w:r>
            <w:rPr>
              <w:webHidden/>
            </w:rPr>
            <w:tab/>
          </w:r>
          <w:r w:rsidR="000A3715">
            <w:rPr>
              <w:webHidden/>
            </w:rPr>
            <w:t>33</w:t>
          </w:r>
        </w:p>
        <w:p w:rsidR="005B3EEA" w:rsidRDefault="005B3EEA">
          <w:pPr>
            <w:pStyle w:val="TOC3"/>
            <w:rPr>
              <w:rFonts w:asciiTheme="minorHAnsi" w:hAnsiTheme="minorHAnsi" w:cstheme="minorBidi"/>
              <w:sz w:val="22"/>
              <w:szCs w:val="22"/>
            </w:rPr>
          </w:pPr>
          <w:r w:rsidRPr="000A3715">
            <w:t>4.4.1</w:t>
          </w:r>
          <w:r>
            <w:rPr>
              <w:rFonts w:asciiTheme="minorHAnsi" w:hAnsiTheme="minorHAnsi" w:cstheme="minorBidi"/>
              <w:sz w:val="22"/>
              <w:szCs w:val="22"/>
            </w:rPr>
            <w:tab/>
          </w:r>
          <w:r w:rsidRPr="000A3715">
            <w:t>Response to Survey</w:t>
          </w:r>
          <w:r>
            <w:rPr>
              <w:webHidden/>
            </w:rPr>
            <w:tab/>
          </w:r>
          <w:r w:rsidR="000A3715">
            <w:rPr>
              <w:webHidden/>
            </w:rPr>
            <w:t>33</w:t>
          </w:r>
        </w:p>
        <w:p w:rsidR="005B3EEA" w:rsidRDefault="005B3EEA">
          <w:pPr>
            <w:pStyle w:val="TOC3"/>
            <w:rPr>
              <w:rFonts w:asciiTheme="minorHAnsi" w:hAnsiTheme="minorHAnsi" w:cstheme="minorBidi"/>
              <w:sz w:val="22"/>
              <w:szCs w:val="22"/>
            </w:rPr>
          </w:pPr>
          <w:r w:rsidRPr="000A3715">
            <w:t>4.4.2</w:t>
          </w:r>
          <w:r>
            <w:rPr>
              <w:rFonts w:asciiTheme="minorHAnsi" w:hAnsiTheme="minorHAnsi" w:cstheme="minorBidi"/>
              <w:sz w:val="22"/>
              <w:szCs w:val="22"/>
            </w:rPr>
            <w:tab/>
          </w:r>
          <w:r w:rsidRPr="000A3715">
            <w:t>Single Outage Scenarios</w:t>
          </w:r>
          <w:r>
            <w:rPr>
              <w:webHidden/>
            </w:rPr>
            <w:tab/>
          </w:r>
          <w:r w:rsidR="000A3715">
            <w:rPr>
              <w:webHidden/>
            </w:rPr>
            <w:t>34</w:t>
          </w:r>
        </w:p>
        <w:p w:rsidR="005B3EEA" w:rsidRDefault="005B3EEA">
          <w:pPr>
            <w:pStyle w:val="TOC3"/>
            <w:rPr>
              <w:rFonts w:asciiTheme="minorHAnsi" w:hAnsiTheme="minorHAnsi" w:cstheme="minorBidi"/>
              <w:sz w:val="22"/>
              <w:szCs w:val="22"/>
            </w:rPr>
          </w:pPr>
          <w:r w:rsidRPr="000A3715">
            <w:t>4.4.3</w:t>
          </w:r>
          <w:r>
            <w:rPr>
              <w:rFonts w:asciiTheme="minorHAnsi" w:hAnsiTheme="minorHAnsi" w:cstheme="minorBidi"/>
              <w:sz w:val="22"/>
              <w:szCs w:val="22"/>
            </w:rPr>
            <w:tab/>
          </w:r>
          <w:r w:rsidRPr="000A3715">
            <w:t>Multiple Outage Scenarios</w:t>
          </w:r>
          <w:r>
            <w:rPr>
              <w:webHidden/>
            </w:rPr>
            <w:tab/>
          </w:r>
          <w:r w:rsidR="000A3715">
            <w:rPr>
              <w:webHidden/>
            </w:rPr>
            <w:t>36</w:t>
          </w:r>
        </w:p>
        <w:p w:rsidR="005B3EEA" w:rsidRDefault="005B3EEA">
          <w:pPr>
            <w:pStyle w:val="TOC1"/>
            <w:rPr>
              <w:rFonts w:asciiTheme="minorHAnsi" w:eastAsiaTheme="minorEastAsia" w:hAnsiTheme="minorHAnsi" w:cstheme="minorBidi"/>
              <w:sz w:val="22"/>
              <w:szCs w:val="22"/>
            </w:rPr>
          </w:pPr>
          <w:r w:rsidRPr="000A3715">
            <w:t>5</w:t>
          </w:r>
          <w:r>
            <w:rPr>
              <w:rFonts w:asciiTheme="minorHAnsi" w:eastAsiaTheme="minorEastAsia" w:hAnsiTheme="minorHAnsi" w:cstheme="minorBidi"/>
              <w:sz w:val="22"/>
              <w:szCs w:val="22"/>
            </w:rPr>
            <w:tab/>
          </w:r>
          <w:r w:rsidRPr="000A3715">
            <w:t>Comparison to 1990 Outage Cost Study</w:t>
          </w:r>
          <w:r>
            <w:rPr>
              <w:webHidden/>
            </w:rPr>
            <w:tab/>
          </w:r>
          <w:r w:rsidR="000A3715">
            <w:rPr>
              <w:webHidden/>
            </w:rPr>
            <w:t>37</w:t>
          </w:r>
        </w:p>
        <w:p w:rsidR="005B3EEA" w:rsidRDefault="005B3EEA">
          <w:pPr>
            <w:pStyle w:val="TOC1"/>
            <w:tabs>
              <w:tab w:val="left" w:pos="1540"/>
            </w:tabs>
            <w:rPr>
              <w:rFonts w:asciiTheme="minorHAnsi" w:eastAsiaTheme="minorEastAsia" w:hAnsiTheme="minorHAnsi" w:cstheme="minorBidi"/>
              <w:sz w:val="22"/>
              <w:szCs w:val="22"/>
            </w:rPr>
          </w:pPr>
          <w:r w:rsidRPr="000A3715">
            <w:rPr>
              <w:snapToGrid w:val="0"/>
              <w:w w:val="0"/>
            </w:rPr>
            <w:t>Appendix A.</w:t>
          </w:r>
          <w:r>
            <w:rPr>
              <w:rFonts w:asciiTheme="minorHAnsi" w:eastAsiaTheme="minorEastAsia" w:hAnsiTheme="minorHAnsi" w:cstheme="minorBidi"/>
              <w:sz w:val="22"/>
              <w:szCs w:val="22"/>
            </w:rPr>
            <w:tab/>
          </w:r>
          <w:r w:rsidRPr="000A3715">
            <w:t>Assessment of Non-response Bias</w:t>
          </w:r>
          <w:r>
            <w:rPr>
              <w:webHidden/>
            </w:rPr>
            <w:tab/>
          </w:r>
          <w:r w:rsidR="000A3715">
            <w:rPr>
              <w:webHidden/>
            </w:rPr>
            <w:t>39</w:t>
          </w:r>
        </w:p>
        <w:p w:rsidR="005B3EEA" w:rsidRDefault="005B3EEA">
          <w:pPr>
            <w:pStyle w:val="TOC1"/>
            <w:tabs>
              <w:tab w:val="left" w:pos="1540"/>
            </w:tabs>
            <w:rPr>
              <w:rFonts w:asciiTheme="minorHAnsi" w:eastAsiaTheme="minorEastAsia" w:hAnsiTheme="minorHAnsi" w:cstheme="minorBidi"/>
              <w:sz w:val="22"/>
              <w:szCs w:val="22"/>
            </w:rPr>
          </w:pPr>
          <w:r w:rsidRPr="000A3715">
            <w:rPr>
              <w:snapToGrid w:val="0"/>
              <w:w w:val="0"/>
            </w:rPr>
            <w:t>Appendix B.</w:t>
          </w:r>
          <w:r>
            <w:rPr>
              <w:rFonts w:asciiTheme="minorHAnsi" w:eastAsiaTheme="minorEastAsia" w:hAnsiTheme="minorHAnsi" w:cstheme="minorBidi"/>
              <w:sz w:val="22"/>
              <w:szCs w:val="22"/>
            </w:rPr>
            <w:tab/>
          </w:r>
          <w:r w:rsidRPr="000A3715">
            <w:t>Alternative Valuation of Service Reliability</w:t>
          </w:r>
          <w:r>
            <w:rPr>
              <w:webHidden/>
            </w:rPr>
            <w:tab/>
          </w:r>
          <w:r w:rsidR="000A3715">
            <w:rPr>
              <w:webHidden/>
            </w:rPr>
            <w:t>44</w:t>
          </w:r>
        </w:p>
        <w:p w:rsidR="005B3EEA" w:rsidRDefault="005B3EEA">
          <w:pPr>
            <w:pStyle w:val="TOC1"/>
            <w:tabs>
              <w:tab w:val="left" w:pos="1540"/>
            </w:tabs>
            <w:rPr>
              <w:rFonts w:asciiTheme="minorHAnsi" w:eastAsiaTheme="minorEastAsia" w:hAnsiTheme="minorHAnsi" w:cstheme="minorBidi"/>
              <w:sz w:val="22"/>
              <w:szCs w:val="22"/>
            </w:rPr>
          </w:pPr>
          <w:r w:rsidRPr="000A3715">
            <w:rPr>
              <w:snapToGrid w:val="0"/>
              <w:w w:val="0"/>
            </w:rPr>
            <w:t>Appendix C.</w:t>
          </w:r>
          <w:r>
            <w:rPr>
              <w:rFonts w:asciiTheme="minorHAnsi" w:eastAsiaTheme="minorEastAsia" w:hAnsiTheme="minorHAnsi" w:cstheme="minorBidi"/>
              <w:sz w:val="22"/>
              <w:szCs w:val="22"/>
            </w:rPr>
            <w:tab/>
          </w:r>
          <w:r w:rsidRPr="000A3715">
            <w:t>Residential Survey Instrument</w:t>
          </w:r>
        </w:p>
        <w:p w:rsidR="005B3EEA" w:rsidRDefault="005B3EEA">
          <w:pPr>
            <w:pStyle w:val="TOC1"/>
            <w:tabs>
              <w:tab w:val="left" w:pos="1540"/>
            </w:tabs>
            <w:rPr>
              <w:rFonts w:asciiTheme="minorHAnsi" w:eastAsiaTheme="minorEastAsia" w:hAnsiTheme="minorHAnsi" w:cstheme="minorBidi"/>
              <w:sz w:val="22"/>
              <w:szCs w:val="22"/>
            </w:rPr>
          </w:pPr>
          <w:r w:rsidRPr="000A3715">
            <w:rPr>
              <w:snapToGrid w:val="0"/>
              <w:w w:val="0"/>
            </w:rPr>
            <w:t>Appendix D.</w:t>
          </w:r>
          <w:r>
            <w:rPr>
              <w:rFonts w:asciiTheme="minorHAnsi" w:eastAsiaTheme="minorEastAsia" w:hAnsiTheme="minorHAnsi" w:cstheme="minorBidi"/>
              <w:sz w:val="22"/>
              <w:szCs w:val="22"/>
            </w:rPr>
            <w:tab/>
          </w:r>
          <w:r w:rsidRPr="000A3715">
            <w:t>Commercial Survey Instrument</w:t>
          </w:r>
        </w:p>
        <w:p w:rsidR="005B3EEA" w:rsidRDefault="005B3EEA">
          <w:pPr>
            <w:pStyle w:val="TOC1"/>
            <w:tabs>
              <w:tab w:val="left" w:pos="1540"/>
            </w:tabs>
            <w:rPr>
              <w:rFonts w:asciiTheme="minorHAnsi" w:eastAsiaTheme="minorEastAsia" w:hAnsiTheme="minorHAnsi" w:cstheme="minorBidi"/>
              <w:sz w:val="22"/>
              <w:szCs w:val="22"/>
            </w:rPr>
          </w:pPr>
          <w:r w:rsidRPr="000A3715">
            <w:rPr>
              <w:snapToGrid w:val="0"/>
              <w:w w:val="0"/>
            </w:rPr>
            <w:t>Appendix E.</w:t>
          </w:r>
          <w:r>
            <w:rPr>
              <w:rFonts w:asciiTheme="minorHAnsi" w:eastAsiaTheme="minorEastAsia" w:hAnsiTheme="minorHAnsi" w:cstheme="minorBidi"/>
              <w:sz w:val="22"/>
              <w:szCs w:val="22"/>
            </w:rPr>
            <w:tab/>
          </w:r>
          <w:r w:rsidRPr="000A3715">
            <w:t>Industrial Survey Instrument</w:t>
          </w:r>
        </w:p>
        <w:p w:rsidR="005B3EEA" w:rsidRDefault="005B3EEA">
          <w:pPr>
            <w:pStyle w:val="TOC1"/>
            <w:tabs>
              <w:tab w:val="left" w:pos="1540"/>
            </w:tabs>
            <w:rPr>
              <w:rFonts w:asciiTheme="minorHAnsi" w:eastAsiaTheme="minorEastAsia" w:hAnsiTheme="minorHAnsi" w:cstheme="minorBidi"/>
              <w:sz w:val="22"/>
              <w:szCs w:val="22"/>
            </w:rPr>
          </w:pPr>
          <w:r w:rsidRPr="000A3715">
            <w:rPr>
              <w:snapToGrid w:val="0"/>
              <w:w w:val="0"/>
            </w:rPr>
            <w:t>Appendix F.</w:t>
          </w:r>
          <w:r>
            <w:rPr>
              <w:rFonts w:asciiTheme="minorHAnsi" w:eastAsiaTheme="minorEastAsia" w:hAnsiTheme="minorHAnsi" w:cstheme="minorBidi"/>
              <w:sz w:val="22"/>
              <w:szCs w:val="22"/>
            </w:rPr>
            <w:tab/>
          </w:r>
          <w:r w:rsidRPr="000A3715">
            <w:t>Large Business Survey Instrument</w:t>
          </w:r>
        </w:p>
        <w:p w:rsidR="001A71A9" w:rsidRDefault="00095D5F"/>
      </w:sdtContent>
    </w:sdt>
    <w:p w:rsidR="00DB35F9" w:rsidRPr="00ED253C" w:rsidRDefault="00DB35F9" w:rsidP="00305437">
      <w:pPr>
        <w:pStyle w:val="PreparedForCompany"/>
      </w:pPr>
      <w:bookmarkStart w:id="0" w:name="_Toc268073344"/>
    </w:p>
    <w:p w:rsidR="00DB35F9" w:rsidRDefault="00DB35F9" w:rsidP="00DB35F9">
      <w:pPr>
        <w:spacing w:before="240"/>
        <w:rPr>
          <w:b/>
          <w:color w:val="433B67"/>
          <w:sz w:val="28"/>
          <w:szCs w:val="28"/>
        </w:rPr>
        <w:sectPr w:rsidR="00DB35F9" w:rsidSect="00B50663">
          <w:headerReference w:type="default" r:id="rId17"/>
          <w:footerReference w:type="default" r:id="rId18"/>
          <w:headerReference w:type="first" r:id="rId19"/>
          <w:footerReference w:type="first" r:id="rId20"/>
          <w:pgSz w:w="12240" w:h="15840"/>
          <w:pgMar w:top="1440" w:right="1800" w:bottom="1440" w:left="1800" w:header="720" w:footer="720" w:gutter="0"/>
          <w:pgNumType w:fmt="lowerRoman" w:start="1"/>
          <w:cols w:space="720"/>
          <w:docGrid w:linePitch="360"/>
        </w:sectPr>
      </w:pPr>
    </w:p>
    <w:p w:rsidR="00B34322" w:rsidRDefault="00B34322" w:rsidP="00B34322">
      <w:pPr>
        <w:pStyle w:val="Heading1"/>
      </w:pPr>
      <w:bookmarkStart w:id="1" w:name="_Toc327201501"/>
      <w:bookmarkEnd w:id="0"/>
      <w:r>
        <w:t>Executive Summary</w:t>
      </w:r>
      <w:bookmarkEnd w:id="1"/>
    </w:p>
    <w:p w:rsidR="00F1710D" w:rsidRDefault="00ED4107" w:rsidP="00F1710D">
      <w:pPr>
        <w:pStyle w:val="BodyParagraph"/>
      </w:pPr>
      <w:r>
        <w:t>This report summarizes th</w:t>
      </w:r>
      <w:r w:rsidR="009F7B59">
        <w:t xml:space="preserve">e methodology and results of </w:t>
      </w:r>
      <w:r>
        <w:t>Southern Company’s 2012 expected uns</w:t>
      </w:r>
      <w:r w:rsidR="00783484">
        <w:t xml:space="preserve">erved energy (EUE) cost study.  </w:t>
      </w:r>
      <w:r w:rsidR="00F1710D">
        <w:t>EUE is the expected quantity of electricity that would have been consumed if a power outage had not occurred.  Its cost is th</w:t>
      </w:r>
      <w:r w:rsidR="00783484">
        <w:t>e value that customers place on</w:t>
      </w:r>
      <w:r w:rsidR="00F1710D">
        <w:t xml:space="preserve"> receiving service, </w:t>
      </w:r>
      <w:r w:rsidR="00783484">
        <w:t xml:space="preserve">commonly known as value of service.  </w:t>
      </w:r>
      <w:r w:rsidR="00F142A4">
        <w:t>Since the</w:t>
      </w:r>
      <w:r w:rsidR="00783484">
        <w:t xml:space="preserve"> value of service </w:t>
      </w:r>
      <w:r w:rsidR="00F142A4">
        <w:t xml:space="preserve">reliability </w:t>
      </w:r>
      <w:r w:rsidR="00783484">
        <w:t xml:space="preserve">cannot be measured directly, it is estimated from outage cost surveys of utility customers.  </w:t>
      </w:r>
      <w:r w:rsidR="00CE146D">
        <w:t xml:space="preserve">These cost estimates </w:t>
      </w:r>
      <w:r w:rsidR="00F142A4">
        <w:t>can be used to assess the cost-effectiveness of investments in generation, transmission and distribution systems and to strategically compare alternative investments in order to determine which provides the most combined benefits to the utility and its customers.</w:t>
      </w:r>
    </w:p>
    <w:p w:rsidR="00ED4107" w:rsidRDefault="00ED4107" w:rsidP="00ED4107">
      <w:pPr>
        <w:pStyle w:val="BodyBeforeBullet"/>
      </w:pPr>
      <w:r>
        <w:t xml:space="preserve">The primary objectives of the </w:t>
      </w:r>
      <w:r w:rsidR="00875804">
        <w:t xml:space="preserve">2012 EUE cost </w:t>
      </w:r>
      <w:r>
        <w:t>study were to:</w:t>
      </w:r>
    </w:p>
    <w:p w:rsidR="00ED4107" w:rsidRDefault="00ED4107" w:rsidP="00ED4107">
      <w:pPr>
        <w:pStyle w:val="Bullets"/>
      </w:pPr>
      <w:r>
        <w:t>Estimate EUE cost by customer class for outages that occur during time periods with high system demand; and</w:t>
      </w:r>
    </w:p>
    <w:p w:rsidR="00ED4107" w:rsidRDefault="00ED4107" w:rsidP="00ED4107">
      <w:pPr>
        <w:pStyle w:val="BulletLast"/>
      </w:pPr>
      <w:r>
        <w:t>Assess how EUE cost by customer class changes as the number of outages per summer</w:t>
      </w:r>
      <w:r w:rsidR="00832E58">
        <w:t> </w:t>
      </w:r>
      <w:r>
        <w:t>increases.</w:t>
      </w:r>
    </w:p>
    <w:p w:rsidR="00ED4107" w:rsidRDefault="00ED4107" w:rsidP="00B169AE">
      <w:pPr>
        <w:pStyle w:val="BodyParagraph"/>
      </w:pPr>
      <w:r>
        <w:t xml:space="preserve">Considering that this report is similar to a study that was conducted over 20 years ago, a secondary objective was to </w:t>
      </w:r>
      <w:r w:rsidR="00736D54">
        <w:t>compare</w:t>
      </w:r>
      <w:r>
        <w:t xml:space="preserve"> the 1990 EUE cost estimates to the 2012 estimates.</w:t>
      </w:r>
    </w:p>
    <w:p w:rsidR="00B169AE" w:rsidRDefault="00ED4107" w:rsidP="00B169AE">
      <w:pPr>
        <w:pStyle w:val="BodyParagraph"/>
      </w:pPr>
      <w:r>
        <w:t>These objectives were addressed in this study by conducting an outage cost survey of Georgia Power</w:t>
      </w:r>
      <w:r w:rsidR="00910EDC">
        <w:t xml:space="preserve"> Company</w:t>
      </w:r>
      <w:r>
        <w:t xml:space="preserve"> (GPC) and Mississippi Power </w:t>
      </w:r>
      <w:r w:rsidR="00910EDC">
        <w:t xml:space="preserve">Company </w:t>
      </w:r>
      <w:r>
        <w:t>(MPC) customers</w:t>
      </w:r>
      <w:r w:rsidR="00CE146D">
        <w:t>.</w:t>
      </w:r>
      <w:r w:rsidR="0075382D">
        <w:t xml:space="preserve">  This survey methodology has been implemented by many electric utilities throughout the United States </w:t>
      </w:r>
      <w:r w:rsidR="00875804">
        <w:t>over the past 25 years</w:t>
      </w:r>
      <w:r w:rsidR="0075382D">
        <w:t xml:space="preserve">.  This study and the prior studies </w:t>
      </w:r>
      <w:r w:rsidR="00B169AE">
        <w:t>employed a common survey methodology</w:t>
      </w:r>
      <w:r w:rsidR="00D8311B">
        <w:t>,</w:t>
      </w:r>
      <w:r w:rsidR="00B169AE">
        <w:t xml:space="preserve"> including sample des</w:t>
      </w:r>
      <w:r w:rsidR="0075382D">
        <w:t>igns, measurement protocols,</w:t>
      </w:r>
      <w:r w:rsidR="00B169AE">
        <w:t xml:space="preserve"> </w:t>
      </w:r>
      <w:proofErr w:type="gramStart"/>
      <w:r w:rsidR="00B169AE">
        <w:t>survey</w:t>
      </w:r>
      <w:proofErr w:type="gramEnd"/>
      <w:r w:rsidR="00B169AE">
        <w:t xml:space="preserve"> instruments and operating procedures.  This methodology is described in detail in EPRI’s O</w:t>
      </w:r>
      <w:r w:rsidR="0075382D">
        <w:t>utage Cost Estimation Guidebook.</w:t>
      </w:r>
      <w:r w:rsidR="0075382D">
        <w:rPr>
          <w:rStyle w:val="FootnoteReference"/>
        </w:rPr>
        <w:footnoteReference w:id="1"/>
      </w:r>
      <w:r w:rsidR="0075382D">
        <w:t xml:space="preserve">  The results of 28 prior studies are </w:t>
      </w:r>
      <w:r w:rsidR="00D8311B">
        <w:t>part of</w:t>
      </w:r>
      <w:r w:rsidR="0075382D">
        <w:t xml:space="preserve"> a meta-analysis of nationwide outage costs </w:t>
      </w:r>
      <w:r w:rsidR="001C2256">
        <w:t>that is summarized</w:t>
      </w:r>
      <w:r w:rsidR="00D8311B">
        <w:t xml:space="preserve"> </w:t>
      </w:r>
      <w:r w:rsidR="0075382D">
        <w:t>in a</w:t>
      </w:r>
      <w:r w:rsidR="00F142A4">
        <w:t xml:space="preserve"> 2009</w:t>
      </w:r>
      <w:r w:rsidR="0075382D">
        <w:t xml:space="preserve"> report by Lawrence Berkeley National Laboratory.</w:t>
      </w:r>
      <w:r w:rsidR="00F142A4">
        <w:rPr>
          <w:rStyle w:val="FootnoteReference"/>
        </w:rPr>
        <w:footnoteReference w:id="2"/>
      </w:r>
    </w:p>
    <w:p w:rsidR="00ED4107" w:rsidRDefault="00CE146D" w:rsidP="00ED4107">
      <w:pPr>
        <w:pStyle w:val="BodyBeforeBullet"/>
      </w:pPr>
      <w:r>
        <w:t xml:space="preserve">The survey was conducted </w:t>
      </w:r>
      <w:r w:rsidR="00ED4107">
        <w:t>among the following four customer classes:</w:t>
      </w:r>
    </w:p>
    <w:p w:rsidR="00ED4107" w:rsidRDefault="00ED4107" w:rsidP="00ED4107">
      <w:pPr>
        <w:pStyle w:val="Bullets"/>
      </w:pPr>
      <w:r>
        <w:t>Residential;</w:t>
      </w:r>
    </w:p>
    <w:p w:rsidR="00ED4107" w:rsidRDefault="00ED4107" w:rsidP="00ED4107">
      <w:pPr>
        <w:pStyle w:val="Bullets"/>
      </w:pPr>
      <w:r>
        <w:t>Commercial (below 1 MW average demand);</w:t>
      </w:r>
    </w:p>
    <w:p w:rsidR="00ED4107" w:rsidRDefault="00ED4107" w:rsidP="00ED4107">
      <w:pPr>
        <w:pStyle w:val="Bullets"/>
      </w:pPr>
      <w:r>
        <w:t>Industrial (below 1 MW average demand); and</w:t>
      </w:r>
    </w:p>
    <w:p w:rsidR="00ED4107" w:rsidRDefault="00ED4107" w:rsidP="00ED4107">
      <w:pPr>
        <w:pStyle w:val="BulletLast"/>
      </w:pPr>
      <w:r>
        <w:t>Large business (commercial and industrial customers above 1 MW average demand).</w:t>
      </w:r>
    </w:p>
    <w:p w:rsidR="00ED4107" w:rsidRDefault="00ED4107" w:rsidP="00ED4107">
      <w:pPr>
        <w:pStyle w:val="BodyParagraph"/>
      </w:pPr>
      <w:r>
        <w:t>Large business customers above 1 MW average demand were part of a separate segment because the data collection method was</w:t>
      </w:r>
      <w:r w:rsidR="009F7B59">
        <w:t xml:space="preserve"> different (in-person interview</w:t>
      </w:r>
      <w:r>
        <w:t>) and prior studies have consistently shown that high usage customers have substantially different EUE costs.</w:t>
      </w:r>
    </w:p>
    <w:p w:rsidR="00ED4107" w:rsidRDefault="00ED4107" w:rsidP="00ED4107">
      <w:pPr>
        <w:pStyle w:val="Heading2"/>
      </w:pPr>
      <w:bookmarkStart w:id="2" w:name="_Toc327201502"/>
      <w:r>
        <w:t>Response to Survey</w:t>
      </w:r>
      <w:bookmarkEnd w:id="2"/>
    </w:p>
    <w:p w:rsidR="00ED4107" w:rsidRPr="00ED4107" w:rsidRDefault="00ED4107" w:rsidP="00ED4107">
      <w:pPr>
        <w:pStyle w:val="BodyParagraph"/>
      </w:pPr>
      <w:r>
        <w:t xml:space="preserve">Table 1-1 </w:t>
      </w:r>
      <w:r w:rsidR="00736D54">
        <w:t xml:space="preserve">describes </w:t>
      </w:r>
      <w:r>
        <w:t>the total number of completed surveys by operating company and customer class.</w:t>
      </w:r>
      <w:r w:rsidR="003C16C6">
        <w:t xml:space="preserve">  </w:t>
      </w:r>
      <w:r w:rsidR="00910EDC" w:rsidRPr="00910EDC">
        <w:t>A total of 3,410 completed surveys were recorded.</w:t>
      </w:r>
      <w:r w:rsidR="00910EDC">
        <w:t xml:space="preserve">  </w:t>
      </w:r>
      <w:r w:rsidR="003C16C6">
        <w:t>The total number of completed surveys varied by customer class and was roughly proportional to the size of the underlying populations.</w:t>
      </w:r>
      <w:r>
        <w:t xml:space="preserve">  With 1,288 and 1,355 completed surveys respectively, the residential and commercial customer classes had the largest number of participants in the study.  In the industrial segment, 668 respondents completed the survey and 99 large business customers participated in the in-person interviews.</w:t>
      </w:r>
      <w:r w:rsidR="003C16C6">
        <w:t xml:space="preserve">  </w:t>
      </w:r>
      <w:r>
        <w:t>The number of completed survey</w:t>
      </w:r>
      <w:r w:rsidR="009F7B59">
        <w:t>s</w:t>
      </w:r>
      <w:r>
        <w:t xml:space="preserve"> was divided proportionately between GPC and MPC, relative to the </w:t>
      </w:r>
      <w:r w:rsidR="003C16C6">
        <w:t>size of the population for each operating company.  Across the customer classes, GPC comprised 89% to 94% of the population.</w:t>
      </w:r>
    </w:p>
    <w:p w:rsidR="001C05DE" w:rsidRDefault="001C05DE" w:rsidP="001C05DE">
      <w:pPr>
        <w:pStyle w:val="TableFigureCaption"/>
        <w:rPr>
          <w:rFonts w:eastAsia="Times New Roman" w:cs="Arial"/>
          <w:bCs/>
          <w:color w:val="000000"/>
        </w:rPr>
      </w:pPr>
      <w:r>
        <w:t>Table 1-1</w:t>
      </w:r>
      <w:proofErr w:type="gramStart"/>
      <w:r>
        <w:t>:</w:t>
      </w:r>
      <w:proofErr w:type="gramEnd"/>
      <w:r>
        <w:br/>
      </w:r>
      <w:r w:rsidR="00F7615D">
        <w:rPr>
          <w:rFonts w:eastAsia="Times New Roman" w:cs="Arial"/>
          <w:bCs/>
          <w:color w:val="000000"/>
        </w:rPr>
        <w:t>Total Number of Completed Surveys</w:t>
      </w:r>
      <w:r>
        <w:rPr>
          <w:rFonts w:eastAsia="Times New Roman" w:cs="Arial"/>
          <w:bCs/>
          <w:color w:val="000000"/>
        </w:rPr>
        <w:t xml:space="preserve"> </w:t>
      </w:r>
      <w:r w:rsidR="00F7615D">
        <w:rPr>
          <w:rFonts w:eastAsia="Times New Roman" w:cs="Arial"/>
          <w:bCs/>
          <w:color w:val="000000"/>
        </w:rPr>
        <w:br/>
      </w:r>
      <w:r>
        <w:rPr>
          <w:rFonts w:eastAsia="Times New Roman" w:cs="Arial"/>
          <w:bCs/>
          <w:color w:val="000000"/>
        </w:rPr>
        <w:t xml:space="preserve">by </w:t>
      </w:r>
      <w:r w:rsidR="00F7615D">
        <w:rPr>
          <w:rFonts w:eastAsia="Times New Roman" w:cs="Arial"/>
          <w:bCs/>
          <w:color w:val="000000"/>
        </w:rPr>
        <w:t xml:space="preserve">Operating Company and </w:t>
      </w:r>
      <w:r>
        <w:rPr>
          <w:rFonts w:eastAsia="Times New Roman" w:cs="Arial"/>
          <w:bCs/>
          <w:color w:val="000000"/>
        </w:rPr>
        <w:t>Customer Class</w:t>
      </w:r>
    </w:p>
    <w:tbl>
      <w:tblPr>
        <w:tblW w:w="8020" w:type="dxa"/>
        <w:jc w:val="center"/>
        <w:tblInd w:w="373" w:type="dxa"/>
        <w:tblLook w:val="04A0"/>
      </w:tblPr>
      <w:tblGrid>
        <w:gridCol w:w="2420"/>
        <w:gridCol w:w="1400"/>
        <w:gridCol w:w="1400"/>
        <w:gridCol w:w="1400"/>
        <w:gridCol w:w="1400"/>
      </w:tblGrid>
      <w:tr w:rsidR="001C05DE" w:rsidRPr="001C05DE" w:rsidTr="001C05DE">
        <w:trPr>
          <w:trHeight w:val="510"/>
          <w:jc w:val="center"/>
        </w:trPr>
        <w:tc>
          <w:tcPr>
            <w:tcW w:w="2420" w:type="dxa"/>
            <w:tcBorders>
              <w:top w:val="single" w:sz="4" w:space="0" w:color="auto"/>
              <w:left w:val="single" w:sz="4" w:space="0" w:color="auto"/>
              <w:bottom w:val="single" w:sz="4" w:space="0" w:color="auto"/>
              <w:right w:val="single" w:sz="4" w:space="0" w:color="FFFFFF"/>
            </w:tcBorders>
            <w:shd w:val="clear" w:color="000000" w:fill="1F497D"/>
            <w:vAlign w:val="center"/>
            <w:hideMark/>
          </w:tcPr>
          <w:p w:rsidR="001C05DE" w:rsidRPr="001C05DE" w:rsidRDefault="001C05DE" w:rsidP="00252D95">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Operating Company</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252D95">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Residential</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252D95">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Commercial</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252D95">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Industrial</w:t>
            </w:r>
          </w:p>
        </w:tc>
        <w:tc>
          <w:tcPr>
            <w:tcW w:w="1400" w:type="dxa"/>
            <w:tcBorders>
              <w:top w:val="single" w:sz="4" w:space="0" w:color="auto"/>
              <w:left w:val="nil"/>
              <w:bottom w:val="single" w:sz="4" w:space="0" w:color="auto"/>
              <w:right w:val="single" w:sz="4" w:space="0" w:color="auto"/>
            </w:tcBorders>
            <w:shd w:val="clear" w:color="000000" w:fill="1F497D"/>
            <w:vAlign w:val="center"/>
            <w:hideMark/>
          </w:tcPr>
          <w:p w:rsidR="001C05DE" w:rsidRPr="001C05DE" w:rsidRDefault="001C05DE" w:rsidP="00252D95">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Large Business</w:t>
            </w:r>
          </w:p>
        </w:tc>
      </w:tr>
      <w:tr w:rsidR="001C05DE" w:rsidRPr="001C05DE" w:rsidTr="001C05DE">
        <w:trPr>
          <w:trHeight w:val="255"/>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Georgia Power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1,189</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1,252</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621</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92</w:t>
            </w:r>
          </w:p>
        </w:tc>
      </w:tr>
      <w:tr w:rsidR="001C05DE" w:rsidRPr="001C05DE" w:rsidTr="001C05DE">
        <w:trPr>
          <w:trHeight w:val="255"/>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Mississippi Power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99</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103</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47</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7</w:t>
            </w:r>
          </w:p>
        </w:tc>
      </w:tr>
      <w:tr w:rsidR="001C05DE" w:rsidRPr="001C05DE" w:rsidTr="001C05DE">
        <w:trPr>
          <w:trHeight w:val="255"/>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b/>
                <w:bCs/>
                <w:color w:val="000000"/>
                <w:sz w:val="20"/>
                <w:szCs w:val="20"/>
              </w:rPr>
            </w:pPr>
            <w:r w:rsidRPr="001C05DE">
              <w:rPr>
                <w:rFonts w:ascii="Arial" w:eastAsia="Times New Roman" w:hAnsi="Arial" w:cs="Arial"/>
                <w:b/>
                <w:bCs/>
                <w:color w:val="000000"/>
                <w:sz w:val="20"/>
                <w:szCs w:val="20"/>
              </w:rPr>
              <w:t>Overall</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b/>
                <w:bCs/>
                <w:color w:val="000000"/>
                <w:sz w:val="20"/>
                <w:szCs w:val="20"/>
              </w:rPr>
            </w:pPr>
            <w:r w:rsidRPr="001C05DE">
              <w:rPr>
                <w:rFonts w:ascii="Arial" w:eastAsia="Times New Roman" w:hAnsi="Arial" w:cs="Arial"/>
                <w:b/>
                <w:bCs/>
                <w:color w:val="000000"/>
                <w:sz w:val="20"/>
                <w:szCs w:val="20"/>
              </w:rPr>
              <w:t>1,288</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b/>
                <w:bCs/>
                <w:color w:val="000000"/>
                <w:sz w:val="20"/>
                <w:szCs w:val="20"/>
              </w:rPr>
            </w:pPr>
            <w:r w:rsidRPr="001C05DE">
              <w:rPr>
                <w:rFonts w:ascii="Arial" w:eastAsia="Times New Roman" w:hAnsi="Arial" w:cs="Arial"/>
                <w:b/>
                <w:bCs/>
                <w:color w:val="000000"/>
                <w:sz w:val="20"/>
                <w:szCs w:val="20"/>
              </w:rPr>
              <w:t>1,355</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b/>
                <w:bCs/>
                <w:color w:val="000000"/>
                <w:sz w:val="20"/>
                <w:szCs w:val="20"/>
              </w:rPr>
            </w:pPr>
            <w:r w:rsidRPr="001C05DE">
              <w:rPr>
                <w:rFonts w:ascii="Arial" w:eastAsia="Times New Roman" w:hAnsi="Arial" w:cs="Arial"/>
                <w:b/>
                <w:bCs/>
                <w:color w:val="000000"/>
                <w:sz w:val="20"/>
                <w:szCs w:val="20"/>
              </w:rPr>
              <w:t>668</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252D95">
            <w:pPr>
              <w:spacing w:before="60" w:after="60" w:line="240" w:lineRule="auto"/>
              <w:jc w:val="center"/>
              <w:rPr>
                <w:rFonts w:ascii="Arial" w:eastAsia="Times New Roman" w:hAnsi="Arial" w:cs="Arial"/>
                <w:b/>
                <w:bCs/>
                <w:color w:val="000000"/>
                <w:sz w:val="20"/>
                <w:szCs w:val="20"/>
              </w:rPr>
            </w:pPr>
            <w:r w:rsidRPr="001C05DE">
              <w:rPr>
                <w:rFonts w:ascii="Arial" w:eastAsia="Times New Roman" w:hAnsi="Arial" w:cs="Arial"/>
                <w:b/>
                <w:bCs/>
                <w:color w:val="000000"/>
                <w:sz w:val="20"/>
                <w:szCs w:val="20"/>
              </w:rPr>
              <w:t>99</w:t>
            </w:r>
          </w:p>
        </w:tc>
      </w:tr>
    </w:tbl>
    <w:p w:rsidR="001C05DE" w:rsidRPr="001C05DE" w:rsidRDefault="001C05DE" w:rsidP="001C05DE">
      <w:pPr>
        <w:pStyle w:val="BodyParagraph"/>
      </w:pPr>
    </w:p>
    <w:p w:rsidR="001E0430" w:rsidRDefault="006D1E90" w:rsidP="001E0430">
      <w:pPr>
        <w:pStyle w:val="Heading2"/>
      </w:pPr>
      <w:bookmarkStart w:id="3" w:name="_Toc327201503"/>
      <w:r>
        <w:t>Results for Single Outage Scenarios</w:t>
      </w:r>
      <w:bookmarkEnd w:id="3"/>
    </w:p>
    <w:p w:rsidR="009833BC" w:rsidRDefault="00266C80" w:rsidP="00F1710D">
      <w:pPr>
        <w:pStyle w:val="BodyParagraph"/>
      </w:pPr>
      <w:r>
        <w:t>Table 1-2</w:t>
      </w:r>
      <w:r w:rsidR="00DA0C78">
        <w:t xml:space="preserve"> provides the cost per outage event estimates</w:t>
      </w:r>
      <w:r>
        <w:t xml:space="preserve"> by customer class for the single outage scenarios.  </w:t>
      </w:r>
      <w:r w:rsidR="0071785C">
        <w:t xml:space="preserve">Cost per outage event is the average cost per customer resulting from each outage scenario.  </w:t>
      </w:r>
      <w:r>
        <w:t>As shown in the table</w:t>
      </w:r>
      <w:r w:rsidR="00DA0C78">
        <w:t xml:space="preserve">, the impact of advance warning varies by customer class.  For residential customers, </w:t>
      </w:r>
      <w:r w:rsidR="00A54B98">
        <w:t xml:space="preserve">advance warning leads to a minimal reduction among the 1-hour and 8-hour outage scenarios.  Industrial customers are best able to mitigate costs as a result of advance warning.  The industrial cost per event is 50.2% lower with warning for a 1-hour outage and 46.9% lower with warning for an 8-hour outage.  Commercial customers report a </w:t>
      </w:r>
      <w:r w:rsidR="00771D8E">
        <w:t>47.8%</w:t>
      </w:r>
      <w:r w:rsidR="00A54B98">
        <w:t xml:space="preserve"> reduction in cost per even</w:t>
      </w:r>
      <w:r w:rsidR="00771D8E">
        <w:t>t at 1 hour, but the impact lowers to 21.7</w:t>
      </w:r>
      <w:r w:rsidR="00A54B98">
        <w:t>% at 8 hours.  Large business customers are also able to mitigate costs as a result of advance warning, but to a lesser extent with a 24.8% reduction at 1 hour and a 9% reduction at 8 hours.</w:t>
      </w:r>
      <w:r w:rsidR="00771D8E" w:rsidRPr="00771D8E">
        <w:t xml:space="preserve"> </w:t>
      </w:r>
      <w:r w:rsidR="00771D8E">
        <w:t xml:space="preserve"> For commercial and large business customers, this result suggests that a customer’s ability to mitigate costs as a result of advance warning reduces as outage duration increases.  At 8 hours, there is relatively little that a commercial or large business customer can do to mitigate costs and advance warning no longer has as much of an impact.</w:t>
      </w:r>
    </w:p>
    <w:p w:rsidR="00266C80" w:rsidRDefault="00266C80" w:rsidP="00266C80">
      <w:pPr>
        <w:pStyle w:val="TableFigureCaption"/>
      </w:pPr>
      <w:r>
        <w:t>Table 1-2:</w:t>
      </w:r>
      <w:r>
        <w:br/>
        <w:t>2012 Cost per Outage Event Estimates – by Customer Class</w:t>
      </w:r>
    </w:p>
    <w:tbl>
      <w:tblPr>
        <w:tblW w:w="8870" w:type="dxa"/>
        <w:jc w:val="center"/>
        <w:tblInd w:w="-477" w:type="dxa"/>
        <w:tblLook w:val="04A0"/>
      </w:tblPr>
      <w:tblGrid>
        <w:gridCol w:w="3270"/>
        <w:gridCol w:w="1400"/>
        <w:gridCol w:w="1400"/>
        <w:gridCol w:w="1400"/>
        <w:gridCol w:w="1400"/>
      </w:tblGrid>
      <w:tr w:rsidR="00266C80" w:rsidRPr="001C05DE" w:rsidTr="007E27DB">
        <w:trPr>
          <w:trHeight w:val="510"/>
          <w:jc w:val="center"/>
        </w:trPr>
        <w:tc>
          <w:tcPr>
            <w:tcW w:w="3270" w:type="dxa"/>
            <w:tcBorders>
              <w:top w:val="single" w:sz="4" w:space="0" w:color="auto"/>
              <w:left w:val="single" w:sz="4" w:space="0" w:color="auto"/>
              <w:bottom w:val="single" w:sz="4" w:space="0" w:color="auto"/>
              <w:right w:val="single" w:sz="4" w:space="0" w:color="FFFFFF"/>
            </w:tcBorders>
            <w:shd w:val="clear" w:color="000000" w:fill="1F497D"/>
            <w:vAlign w:val="center"/>
            <w:hideMark/>
          </w:tcPr>
          <w:p w:rsidR="00266C80" w:rsidRPr="001C05DE" w:rsidRDefault="00266C80" w:rsidP="00266C80">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Outage Scenario</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266C80" w:rsidRPr="001C05DE" w:rsidRDefault="00266C80" w:rsidP="00266C80">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Residential</w:t>
            </w:r>
            <w:r>
              <w:rPr>
                <w:rFonts w:ascii="Arial" w:eastAsia="Times New Roman" w:hAnsi="Arial" w:cs="Arial"/>
                <w:b/>
                <w:bCs/>
                <w:color w:val="FFFFFF"/>
                <w:sz w:val="20"/>
                <w:szCs w:val="20"/>
              </w:rPr>
              <w:t xml:space="preserve"> ($/event)</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266C80" w:rsidRPr="001C05DE" w:rsidRDefault="00266C80" w:rsidP="00266C80">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Commercial</w:t>
            </w:r>
            <w:r>
              <w:rPr>
                <w:rFonts w:ascii="Arial" w:eastAsia="Times New Roman" w:hAnsi="Arial" w:cs="Arial"/>
                <w:b/>
                <w:bCs/>
                <w:color w:val="FFFFFF"/>
                <w:sz w:val="20"/>
                <w:szCs w:val="20"/>
              </w:rPr>
              <w:t xml:space="preserve"> ($/event)</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266C80" w:rsidRPr="001C05DE" w:rsidRDefault="00266C80" w:rsidP="00266C80">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Industrial</w:t>
            </w:r>
            <w:r>
              <w:rPr>
                <w:rFonts w:ascii="Arial" w:eastAsia="Times New Roman" w:hAnsi="Arial" w:cs="Arial"/>
                <w:b/>
                <w:bCs/>
                <w:color w:val="FFFFFF"/>
                <w:sz w:val="20"/>
                <w:szCs w:val="20"/>
              </w:rPr>
              <w:t xml:space="preserve"> ($/event)</w:t>
            </w:r>
          </w:p>
        </w:tc>
        <w:tc>
          <w:tcPr>
            <w:tcW w:w="1400" w:type="dxa"/>
            <w:tcBorders>
              <w:top w:val="single" w:sz="4" w:space="0" w:color="auto"/>
              <w:left w:val="nil"/>
              <w:bottom w:val="single" w:sz="4" w:space="0" w:color="auto"/>
              <w:right w:val="single" w:sz="4" w:space="0" w:color="auto"/>
            </w:tcBorders>
            <w:shd w:val="clear" w:color="000000" w:fill="1F497D"/>
            <w:vAlign w:val="center"/>
            <w:hideMark/>
          </w:tcPr>
          <w:p w:rsidR="00266C80" w:rsidRPr="001C05DE" w:rsidRDefault="00266C80" w:rsidP="00266C80">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Large Business</w:t>
            </w:r>
            <w:r>
              <w:rPr>
                <w:rFonts w:ascii="Arial" w:eastAsia="Times New Roman" w:hAnsi="Arial" w:cs="Arial"/>
                <w:b/>
                <w:bCs/>
                <w:color w:val="FFFFFF"/>
                <w:sz w:val="20"/>
                <w:szCs w:val="20"/>
              </w:rPr>
              <w:t xml:space="preserve"> ($/event)</w:t>
            </w:r>
          </w:p>
        </w:tc>
      </w:tr>
      <w:tr w:rsidR="00266C80" w:rsidRPr="001C05DE" w:rsidTr="007E27DB">
        <w:trPr>
          <w:trHeight w:val="255"/>
          <w:jc w:val="center"/>
        </w:trPr>
        <w:tc>
          <w:tcPr>
            <w:tcW w:w="3270" w:type="dxa"/>
            <w:tcBorders>
              <w:top w:val="nil"/>
              <w:left w:val="single" w:sz="4" w:space="0" w:color="auto"/>
              <w:bottom w:val="single" w:sz="4" w:space="0" w:color="auto"/>
              <w:right w:val="single" w:sz="4" w:space="0" w:color="auto"/>
            </w:tcBorders>
            <w:shd w:val="clear" w:color="auto" w:fill="auto"/>
            <w:noWrap/>
            <w:vAlign w:val="center"/>
            <w:hideMark/>
          </w:tcPr>
          <w:p w:rsidR="00266C80" w:rsidRPr="001C05DE" w:rsidRDefault="00266C80" w:rsidP="00266C80">
            <w:pPr>
              <w:keepNext/>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hour, no</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266C80" w:rsidRPr="001C05DE" w:rsidTr="007E27DB">
        <w:trPr>
          <w:trHeight w:val="255"/>
          <w:jc w:val="center"/>
        </w:trPr>
        <w:tc>
          <w:tcPr>
            <w:tcW w:w="3270" w:type="dxa"/>
            <w:tcBorders>
              <w:top w:val="nil"/>
              <w:left w:val="single" w:sz="4" w:space="0" w:color="auto"/>
              <w:bottom w:val="single" w:sz="4" w:space="0" w:color="auto"/>
              <w:right w:val="single" w:sz="4" w:space="0" w:color="auto"/>
            </w:tcBorders>
            <w:shd w:val="clear" w:color="auto" w:fill="auto"/>
            <w:noWrap/>
            <w:vAlign w:val="center"/>
            <w:hideMark/>
          </w:tcPr>
          <w:p w:rsidR="00266C80" w:rsidRPr="001C05DE" w:rsidRDefault="00266C80" w:rsidP="00266C80">
            <w:pPr>
              <w:keepNext/>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hour,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266C80" w:rsidRPr="001C05DE" w:rsidTr="007E27DB">
        <w:trPr>
          <w:trHeight w:val="255"/>
          <w:jc w:val="center"/>
        </w:trPr>
        <w:tc>
          <w:tcPr>
            <w:tcW w:w="3270" w:type="dxa"/>
            <w:tcBorders>
              <w:top w:val="nil"/>
              <w:left w:val="single" w:sz="4" w:space="0" w:color="auto"/>
              <w:bottom w:val="single" w:sz="4" w:space="0" w:color="auto"/>
              <w:right w:val="single" w:sz="4" w:space="0" w:color="auto"/>
            </w:tcBorders>
            <w:shd w:val="clear" w:color="auto" w:fill="auto"/>
            <w:noWrap/>
            <w:vAlign w:val="center"/>
            <w:hideMark/>
          </w:tcPr>
          <w:p w:rsidR="00266C80" w:rsidRPr="001C05DE" w:rsidRDefault="00266C80" w:rsidP="00266C80">
            <w:pPr>
              <w:keepNext/>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2 hours,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266C80" w:rsidRPr="001C05DE" w:rsidTr="007E27DB">
        <w:trPr>
          <w:trHeight w:val="255"/>
          <w:jc w:val="center"/>
        </w:trPr>
        <w:tc>
          <w:tcPr>
            <w:tcW w:w="3270" w:type="dxa"/>
            <w:tcBorders>
              <w:top w:val="nil"/>
              <w:left w:val="single" w:sz="4" w:space="0" w:color="auto"/>
              <w:bottom w:val="single" w:sz="4" w:space="0" w:color="auto"/>
              <w:right w:val="single" w:sz="4" w:space="0" w:color="auto"/>
            </w:tcBorders>
            <w:shd w:val="clear" w:color="auto" w:fill="auto"/>
            <w:noWrap/>
            <w:vAlign w:val="center"/>
            <w:hideMark/>
          </w:tcPr>
          <w:p w:rsidR="00266C80" w:rsidRPr="001C05DE" w:rsidRDefault="00266C80" w:rsidP="00266C80">
            <w:pPr>
              <w:keepNext/>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8 hours, no</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266C80" w:rsidRPr="001C05DE" w:rsidTr="007E27DB">
        <w:trPr>
          <w:trHeight w:val="255"/>
          <w:jc w:val="center"/>
        </w:trPr>
        <w:tc>
          <w:tcPr>
            <w:tcW w:w="3270" w:type="dxa"/>
            <w:tcBorders>
              <w:top w:val="nil"/>
              <w:left w:val="single" w:sz="4" w:space="0" w:color="auto"/>
              <w:bottom w:val="single" w:sz="4" w:space="0" w:color="auto"/>
              <w:right w:val="single" w:sz="4" w:space="0" w:color="auto"/>
            </w:tcBorders>
            <w:shd w:val="clear" w:color="auto" w:fill="auto"/>
            <w:noWrap/>
            <w:vAlign w:val="center"/>
            <w:hideMark/>
          </w:tcPr>
          <w:p w:rsidR="00266C80" w:rsidRPr="001C05DE" w:rsidRDefault="00266C80" w:rsidP="00266C80">
            <w:pPr>
              <w:keepNext/>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8 hours,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266C80">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266C80" w:rsidRPr="001C05DE" w:rsidTr="007E27DB">
        <w:trPr>
          <w:trHeight w:val="255"/>
          <w:jc w:val="center"/>
        </w:trPr>
        <w:tc>
          <w:tcPr>
            <w:tcW w:w="3270" w:type="dxa"/>
            <w:tcBorders>
              <w:top w:val="nil"/>
              <w:left w:val="single" w:sz="4" w:space="0" w:color="auto"/>
              <w:bottom w:val="single" w:sz="4" w:space="0" w:color="auto"/>
              <w:right w:val="single" w:sz="4" w:space="0" w:color="auto"/>
            </w:tcBorders>
            <w:shd w:val="clear" w:color="auto" w:fill="auto"/>
            <w:noWrap/>
            <w:vAlign w:val="center"/>
            <w:hideMark/>
          </w:tcPr>
          <w:p w:rsidR="00266C80" w:rsidRPr="001C05DE" w:rsidRDefault="00266C80" w:rsidP="0071785C">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hour, no warning, winter</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71785C">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71785C">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71785C">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266C80" w:rsidRPr="006A335F" w:rsidRDefault="006A335F" w:rsidP="0071785C">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bl>
    <w:p w:rsidR="00771D8E" w:rsidRPr="00771D8E" w:rsidRDefault="00266C80" w:rsidP="00266C80">
      <w:pPr>
        <w:pStyle w:val="BodyParaAfterTableFigure"/>
      </w:pPr>
      <w:r>
        <w:t xml:space="preserve">Table 1-3 summarizes cost per average kW by customer class for the single outage scenarios.  </w:t>
      </w:r>
      <w:r w:rsidR="00EC35D4">
        <w:t xml:space="preserve">Cost per average kW is the average cost per outage event normalized by average customer demand.  This metric is useful for comparing outage costs across segments because it is normalized by customer demand.  </w:t>
      </w:r>
      <w:r>
        <w:t xml:space="preserve">A </w:t>
      </w:r>
      <w:r w:rsidR="00771D8E">
        <w:t xml:space="preserve">result that is consistent across all customer classes is that there is a relatively small increase in </w:t>
      </w:r>
      <w:r w:rsidR="00771D8E" w:rsidRPr="006A335F">
        <w:t>costs as outage duration increases from 1 hour to 2 hours.  An outage with advance warning costs customers $</w:t>
      </w:r>
      <w:r w:rsidR="006A335F">
        <w:rPr>
          <w:rFonts w:eastAsia="Times New Roman" w:cs="Arial"/>
          <w:b/>
          <w:color w:val="000000"/>
          <w:szCs w:val="20"/>
        </w:rPr>
        <w:t>REDACTED</w:t>
      </w:r>
      <w:r w:rsidR="006A335F" w:rsidRPr="006A335F">
        <w:t xml:space="preserve"> </w:t>
      </w:r>
      <w:r w:rsidR="00771D8E" w:rsidRPr="006A335F">
        <w:t>to $</w:t>
      </w:r>
      <w:r w:rsidR="006A335F">
        <w:rPr>
          <w:rFonts w:eastAsia="Times New Roman" w:cs="Arial"/>
          <w:b/>
          <w:color w:val="000000"/>
          <w:szCs w:val="20"/>
        </w:rPr>
        <w:t>REDACTED</w:t>
      </w:r>
      <w:r w:rsidR="006A335F" w:rsidRPr="006A335F">
        <w:t xml:space="preserve"> </w:t>
      </w:r>
      <w:r w:rsidR="00771D8E" w:rsidRPr="006A335F">
        <w:t xml:space="preserve">per average kW at 1 hour and </w:t>
      </w:r>
      <w:r w:rsidR="00FD71A5" w:rsidRPr="006A335F">
        <w:t>$</w:t>
      </w:r>
      <w:r w:rsidR="006A335F">
        <w:rPr>
          <w:rFonts w:eastAsia="Times New Roman" w:cs="Arial"/>
          <w:b/>
          <w:color w:val="000000"/>
          <w:szCs w:val="20"/>
        </w:rPr>
        <w:t>REDACTED</w:t>
      </w:r>
      <w:r w:rsidR="006A335F" w:rsidRPr="006A335F">
        <w:t xml:space="preserve"> </w:t>
      </w:r>
      <w:r w:rsidR="00FD71A5" w:rsidRPr="006A335F">
        <w:t xml:space="preserve">to </w:t>
      </w:r>
      <w:r w:rsidR="00771D8E" w:rsidRPr="006A335F">
        <w:t>$</w:t>
      </w:r>
      <w:r w:rsidR="006A335F">
        <w:rPr>
          <w:rFonts w:eastAsia="Times New Roman" w:cs="Arial"/>
          <w:b/>
          <w:color w:val="000000"/>
          <w:szCs w:val="20"/>
        </w:rPr>
        <w:t>REDACTED</w:t>
      </w:r>
      <w:r w:rsidR="006A335F" w:rsidRPr="006A335F">
        <w:t xml:space="preserve"> </w:t>
      </w:r>
      <w:r w:rsidR="00771D8E" w:rsidRPr="006A335F">
        <w:t>per average kW at 2 hours.  These two scenarios</w:t>
      </w:r>
      <w:r w:rsidR="00771D8E">
        <w:t xml:space="preserve"> with advance warning are identical in terms of timing (3 PM), season (summer) and day of week (weekday), which ensures that the only difference in cost is attributable to the change in outage duration.  Although outage duration doubles from 1 hour to 2 hours,</w:t>
      </w:r>
      <w:r w:rsidR="00FD71A5">
        <w:t xml:space="preserve"> cost only increases by around </w:t>
      </w:r>
      <w:r w:rsidR="00FD71A5" w:rsidRPr="00FD71A5">
        <w:t>6%</w:t>
      </w:r>
      <w:r w:rsidR="00FD71A5">
        <w:t xml:space="preserve"> for residential, </w:t>
      </w:r>
      <w:r w:rsidR="00FD71A5" w:rsidRPr="00FD71A5">
        <w:t>55%</w:t>
      </w:r>
      <w:r w:rsidR="00FD71A5">
        <w:t xml:space="preserve"> for commercial, </w:t>
      </w:r>
      <w:r w:rsidR="00FD71A5" w:rsidRPr="00FD71A5">
        <w:t>31%</w:t>
      </w:r>
      <w:r w:rsidR="00FD71A5">
        <w:t xml:space="preserve"> for industrial and </w:t>
      </w:r>
      <w:r w:rsidR="00FD71A5" w:rsidRPr="00FD71A5">
        <w:t>20%</w:t>
      </w:r>
      <w:r w:rsidR="00FD71A5">
        <w:t xml:space="preserve"> for large business customers.</w:t>
      </w:r>
      <w:r w:rsidR="0041132B">
        <w:t xml:space="preserve">  This trend occurs because there is a fixed cost associated with each outage, regardless of the duration.  Whether an outage is 1 hour or 8 hours, </w:t>
      </w:r>
      <w:r w:rsidR="00C02319">
        <w:t>residential customers still must reset their clocks and find their flashlights or candles and business customers still have to</w:t>
      </w:r>
      <w:r w:rsidR="0041132B">
        <w:t xml:space="preserve"> reset their equipment, </w:t>
      </w:r>
      <w:r w:rsidR="009A7E48">
        <w:t>replace any equipment that was damaged when power went out, conduct safety procedures to make sure all operations are back to normal</w:t>
      </w:r>
      <w:r w:rsidR="00910EDC">
        <w:t>, etc</w:t>
      </w:r>
      <w:r w:rsidR="009A7E48">
        <w:t>.</w:t>
      </w:r>
      <w:r w:rsidR="00C746DC">
        <w:t xml:space="preserve">  Incremental to these fixed costs, there are costs that vary with outage duration, but these variable costs change relatively little in 1-hour increments of outage duration.</w:t>
      </w:r>
    </w:p>
    <w:p w:rsidR="009833BC" w:rsidRDefault="009833BC" w:rsidP="009833BC">
      <w:pPr>
        <w:pStyle w:val="TableFigureCaption"/>
      </w:pPr>
      <w:r>
        <w:t xml:space="preserve">Table </w:t>
      </w:r>
      <w:r w:rsidR="001C05DE">
        <w:t>1-3</w:t>
      </w:r>
      <w:r>
        <w:t>:</w:t>
      </w:r>
      <w:r>
        <w:br/>
        <w:t>2012</w:t>
      </w:r>
      <w:r w:rsidR="003E200F">
        <w:t xml:space="preserve"> </w:t>
      </w:r>
      <w:r>
        <w:t xml:space="preserve">Cost per </w:t>
      </w:r>
      <w:r w:rsidR="003E200F">
        <w:t>Average kW</w:t>
      </w:r>
      <w:r>
        <w:t xml:space="preserve"> Estimates </w:t>
      </w:r>
      <w:r w:rsidR="001C05DE">
        <w:t xml:space="preserve">– </w:t>
      </w:r>
      <w:r>
        <w:t>by Customer Class</w:t>
      </w:r>
    </w:p>
    <w:tbl>
      <w:tblPr>
        <w:tblW w:w="8920" w:type="dxa"/>
        <w:jc w:val="center"/>
        <w:tblInd w:w="-527" w:type="dxa"/>
        <w:tblLook w:val="04A0"/>
      </w:tblPr>
      <w:tblGrid>
        <w:gridCol w:w="3320"/>
        <w:gridCol w:w="1400"/>
        <w:gridCol w:w="1400"/>
        <w:gridCol w:w="1400"/>
        <w:gridCol w:w="1400"/>
      </w:tblGrid>
      <w:tr w:rsidR="001C05DE" w:rsidRPr="001C05DE" w:rsidTr="007E27DB">
        <w:trPr>
          <w:trHeight w:val="510"/>
          <w:jc w:val="center"/>
        </w:trPr>
        <w:tc>
          <w:tcPr>
            <w:tcW w:w="3320" w:type="dxa"/>
            <w:tcBorders>
              <w:top w:val="single" w:sz="4" w:space="0" w:color="auto"/>
              <w:left w:val="single" w:sz="4" w:space="0" w:color="auto"/>
              <w:bottom w:val="single" w:sz="4" w:space="0" w:color="auto"/>
              <w:right w:val="single" w:sz="4" w:space="0" w:color="FFFFFF"/>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Outage Scenario</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Residential</w:t>
            </w:r>
            <w:r w:rsidR="00EF1EF7">
              <w:rPr>
                <w:rFonts w:ascii="Arial" w:eastAsia="Times New Roman" w:hAnsi="Arial" w:cs="Arial"/>
                <w:b/>
                <w:bCs/>
                <w:color w:val="FFFFFF"/>
                <w:sz w:val="20"/>
                <w:szCs w:val="20"/>
              </w:rPr>
              <w:t xml:space="preserve"> ($/kW)</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Commercial</w:t>
            </w:r>
            <w:r w:rsidR="00EF1EF7">
              <w:rPr>
                <w:rFonts w:ascii="Arial" w:eastAsia="Times New Roman" w:hAnsi="Arial" w:cs="Arial"/>
                <w:b/>
                <w:bCs/>
                <w:color w:val="FFFFFF"/>
                <w:sz w:val="20"/>
                <w:szCs w:val="20"/>
              </w:rPr>
              <w:t xml:space="preserve"> ($/kW)</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Industrial</w:t>
            </w:r>
            <w:r w:rsidR="00EF1EF7">
              <w:rPr>
                <w:rFonts w:ascii="Arial" w:eastAsia="Times New Roman" w:hAnsi="Arial" w:cs="Arial"/>
                <w:b/>
                <w:bCs/>
                <w:color w:val="FFFFFF"/>
                <w:sz w:val="20"/>
                <w:szCs w:val="20"/>
              </w:rPr>
              <w:t xml:space="preserve"> ($/kW)</w:t>
            </w:r>
          </w:p>
        </w:tc>
        <w:tc>
          <w:tcPr>
            <w:tcW w:w="1400" w:type="dxa"/>
            <w:tcBorders>
              <w:top w:val="single" w:sz="4" w:space="0" w:color="auto"/>
              <w:left w:val="nil"/>
              <w:bottom w:val="single" w:sz="4" w:space="0" w:color="auto"/>
              <w:right w:val="single" w:sz="4" w:space="0" w:color="auto"/>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Large Business</w:t>
            </w:r>
            <w:r w:rsidR="00EF1EF7">
              <w:rPr>
                <w:rFonts w:ascii="Arial" w:eastAsia="Times New Roman" w:hAnsi="Arial" w:cs="Arial"/>
                <w:b/>
                <w:bCs/>
                <w:color w:val="FFFFFF"/>
                <w:sz w:val="20"/>
                <w:szCs w:val="20"/>
              </w:rPr>
              <w:t xml:space="preserve"> ($/kW)</w:t>
            </w:r>
          </w:p>
        </w:tc>
      </w:tr>
      <w:tr w:rsidR="001C05DE" w:rsidRPr="001C05DE" w:rsidTr="007E27DB">
        <w:trPr>
          <w:trHeight w:val="255"/>
          <w:jc w:val="center"/>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hour, no</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1C05DE" w:rsidRPr="001C05DE" w:rsidTr="007E27DB">
        <w:trPr>
          <w:trHeight w:val="255"/>
          <w:jc w:val="center"/>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hour,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1C05DE" w:rsidRPr="001C05DE" w:rsidTr="007E27DB">
        <w:trPr>
          <w:trHeight w:val="255"/>
          <w:jc w:val="center"/>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2 hours,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1C05DE" w:rsidRPr="001C05DE" w:rsidTr="007E27DB">
        <w:trPr>
          <w:trHeight w:val="255"/>
          <w:jc w:val="center"/>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8 hours, no</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1C05DE" w:rsidRPr="001C05DE" w:rsidTr="007E27DB">
        <w:trPr>
          <w:trHeight w:val="255"/>
          <w:jc w:val="center"/>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8 hours,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1C05DE" w:rsidRPr="001C05DE" w:rsidTr="007E27DB">
        <w:trPr>
          <w:trHeight w:val="255"/>
          <w:jc w:val="center"/>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hour, no warning, winter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bl>
    <w:p w:rsidR="00F1710D" w:rsidRDefault="00F1710D" w:rsidP="00F1710D">
      <w:pPr>
        <w:pStyle w:val="BodyParaAfterTableFigure"/>
      </w:pPr>
      <w:r>
        <w:t>Table 1-</w:t>
      </w:r>
      <w:r w:rsidR="00266C80">
        <w:t>4</w:t>
      </w:r>
      <w:r>
        <w:t xml:space="preserve"> provides the 2012 EUE cost estimates by customer class for the single outage scenarios.  </w:t>
      </w:r>
      <w:r w:rsidR="00EC35D4">
        <w:t xml:space="preserve">EUE cost is the cost per outage event normalized by the expected amount of unserved kWh for each outage scenario.  This metric is useful because it can be readily used in planning applications, for which the expected amount of unserved </w:t>
      </w:r>
      <w:r w:rsidR="00EC35D4" w:rsidRPr="006A335F">
        <w:t xml:space="preserve">kWh as a result of a given outage is usually available.  </w:t>
      </w:r>
      <w:r w:rsidRPr="006A335F">
        <w:t xml:space="preserve">A 1-hour outage without warning has </w:t>
      </w:r>
      <w:proofErr w:type="gramStart"/>
      <w:r w:rsidRPr="006A335F">
        <w:t>an</w:t>
      </w:r>
      <w:proofErr w:type="gramEnd"/>
      <w:r w:rsidRPr="006A335F">
        <w:t xml:space="preserve"> EUE cost of $</w:t>
      </w:r>
      <w:r w:rsidR="006A335F">
        <w:rPr>
          <w:rFonts w:eastAsia="Times New Roman" w:cs="Arial"/>
          <w:b/>
          <w:color w:val="000000"/>
          <w:szCs w:val="20"/>
        </w:rPr>
        <w:t>REDACTED</w:t>
      </w:r>
      <w:r w:rsidR="006A335F" w:rsidRPr="006A335F">
        <w:t xml:space="preserve"> </w:t>
      </w:r>
      <w:r w:rsidRPr="006A335F">
        <w:t xml:space="preserve">for residential customers, which is substantially lower than the EUE cost for the other three segments.  In the non-residential segments, a 1-hour outage without warning has </w:t>
      </w:r>
      <w:proofErr w:type="gramStart"/>
      <w:r w:rsidRPr="006A335F">
        <w:t>an</w:t>
      </w:r>
      <w:proofErr w:type="gramEnd"/>
      <w:r w:rsidRPr="006A335F">
        <w:t xml:space="preserve"> EUE cost of $</w:t>
      </w:r>
      <w:r w:rsidR="006A335F">
        <w:rPr>
          <w:rFonts w:eastAsia="Times New Roman" w:cs="Arial"/>
          <w:b/>
          <w:color w:val="000000"/>
          <w:szCs w:val="20"/>
        </w:rPr>
        <w:t>REDACTED</w:t>
      </w:r>
      <w:r w:rsidR="006A335F" w:rsidRPr="006A335F">
        <w:t xml:space="preserve"> </w:t>
      </w:r>
      <w:r w:rsidRPr="006A335F">
        <w:t>for commercial customers, $</w:t>
      </w:r>
      <w:r w:rsidR="006A335F">
        <w:rPr>
          <w:rFonts w:eastAsia="Times New Roman" w:cs="Arial"/>
          <w:b/>
          <w:color w:val="000000"/>
          <w:szCs w:val="20"/>
        </w:rPr>
        <w:t>REDACTED</w:t>
      </w:r>
      <w:r w:rsidR="006A335F" w:rsidRPr="006A335F">
        <w:t xml:space="preserve"> </w:t>
      </w:r>
      <w:r w:rsidRPr="006A335F">
        <w:t>for industrial customers and roughly half of that for large business customers at $</w:t>
      </w:r>
      <w:r w:rsidR="006A335F">
        <w:rPr>
          <w:rFonts w:eastAsia="Times New Roman" w:cs="Arial"/>
          <w:b/>
          <w:color w:val="000000"/>
          <w:szCs w:val="20"/>
        </w:rPr>
        <w:t>REDACTED</w:t>
      </w:r>
      <w:r w:rsidRPr="006A335F">
        <w:t>.  The</w:t>
      </w:r>
      <w:r>
        <w:t xml:space="preserve"> EUE cost decreases by at least 40% across all customer classes for an 8-hour outage without warning because cost increases substantially less relative to EUE as duration increases.</w:t>
      </w:r>
    </w:p>
    <w:p w:rsidR="00F1710D" w:rsidRPr="001E0430" w:rsidRDefault="00F1710D" w:rsidP="00F1710D">
      <w:pPr>
        <w:pStyle w:val="BodyParagraph"/>
      </w:pPr>
      <w:r>
        <w:t xml:space="preserve">By comparing the 1-hour winter morning scenario with the 1-hour summer afternoon scenario without warning, it is possible to understand the impact of season and time of day for each customer class.  For residential and industrial customers, there is a minimal difference in EUE cost between the two outage scenarios.  For commercial and large business customers, the 1-hour winter morning EUE cost is around 32% lower than the 1-hour summer afternoon EUE cost.  In the commercial segment, it is likely that this reduction is primarily due to the outage occurring at 7 AM as opposed to 3 PM, which is a peak business </w:t>
      </w:r>
      <w:r w:rsidR="00247C7C">
        <w:t>hour for commercial customers.</w:t>
      </w:r>
    </w:p>
    <w:p w:rsidR="00F1710D" w:rsidRDefault="00266C80" w:rsidP="00F1710D">
      <w:pPr>
        <w:pStyle w:val="TableFigureCaption"/>
      </w:pPr>
      <w:r>
        <w:t>Table 1-4</w:t>
      </w:r>
      <w:r w:rsidR="00F1710D">
        <w:t>:</w:t>
      </w:r>
      <w:r w:rsidR="00F1710D">
        <w:br/>
        <w:t xml:space="preserve">2012 </w:t>
      </w:r>
      <w:r w:rsidR="00206734">
        <w:t>EUE</w:t>
      </w:r>
      <w:r w:rsidR="00F1710D">
        <w:t xml:space="preserve"> Cost Estimates – by Customer Class</w:t>
      </w:r>
    </w:p>
    <w:tbl>
      <w:tblPr>
        <w:tblW w:w="8845" w:type="dxa"/>
        <w:jc w:val="center"/>
        <w:tblInd w:w="-452" w:type="dxa"/>
        <w:tblLook w:val="04A0"/>
      </w:tblPr>
      <w:tblGrid>
        <w:gridCol w:w="3245"/>
        <w:gridCol w:w="1400"/>
        <w:gridCol w:w="1400"/>
        <w:gridCol w:w="1400"/>
        <w:gridCol w:w="1400"/>
      </w:tblGrid>
      <w:tr w:rsidR="00F1710D" w:rsidRPr="001C05DE" w:rsidTr="007E27DB">
        <w:trPr>
          <w:trHeight w:val="510"/>
          <w:jc w:val="center"/>
        </w:trPr>
        <w:tc>
          <w:tcPr>
            <w:tcW w:w="3245" w:type="dxa"/>
            <w:tcBorders>
              <w:top w:val="single" w:sz="4" w:space="0" w:color="auto"/>
              <w:left w:val="single" w:sz="4" w:space="0" w:color="auto"/>
              <w:bottom w:val="single" w:sz="4" w:space="0" w:color="auto"/>
              <w:right w:val="single" w:sz="4" w:space="0" w:color="FFFFFF"/>
            </w:tcBorders>
            <w:shd w:val="clear" w:color="000000" w:fill="1F497D"/>
            <w:vAlign w:val="center"/>
            <w:hideMark/>
          </w:tcPr>
          <w:p w:rsidR="00F1710D" w:rsidRPr="001C05DE" w:rsidRDefault="00F1710D" w:rsidP="00F1710D">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Outage Scenario</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F1710D" w:rsidRPr="001C05DE" w:rsidRDefault="00F1710D" w:rsidP="00F1710D">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Residential</w:t>
            </w:r>
            <w:r>
              <w:rPr>
                <w:rFonts w:ascii="Arial" w:eastAsia="Times New Roman" w:hAnsi="Arial" w:cs="Arial"/>
                <w:b/>
                <w:bCs/>
                <w:color w:val="FFFFFF"/>
                <w:sz w:val="20"/>
                <w:szCs w:val="20"/>
              </w:rPr>
              <w:t xml:space="preserve"> ($/kWh)</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F1710D" w:rsidRPr="001C05DE" w:rsidRDefault="00F1710D" w:rsidP="00F1710D">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Commercial</w:t>
            </w:r>
            <w:r>
              <w:rPr>
                <w:rFonts w:ascii="Arial" w:eastAsia="Times New Roman" w:hAnsi="Arial" w:cs="Arial"/>
                <w:b/>
                <w:bCs/>
                <w:color w:val="FFFFFF"/>
                <w:sz w:val="20"/>
                <w:szCs w:val="20"/>
              </w:rPr>
              <w:t xml:space="preserve"> ($/kWh)</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F1710D" w:rsidRPr="001C05DE" w:rsidRDefault="00F1710D" w:rsidP="00F1710D">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Industrial</w:t>
            </w:r>
            <w:r>
              <w:rPr>
                <w:rFonts w:ascii="Arial" w:eastAsia="Times New Roman" w:hAnsi="Arial" w:cs="Arial"/>
                <w:b/>
                <w:bCs/>
                <w:color w:val="FFFFFF"/>
                <w:sz w:val="20"/>
                <w:szCs w:val="20"/>
              </w:rPr>
              <w:t xml:space="preserve"> ($/kWh)</w:t>
            </w:r>
          </w:p>
        </w:tc>
        <w:tc>
          <w:tcPr>
            <w:tcW w:w="1400" w:type="dxa"/>
            <w:tcBorders>
              <w:top w:val="single" w:sz="4" w:space="0" w:color="auto"/>
              <w:left w:val="nil"/>
              <w:bottom w:val="single" w:sz="4" w:space="0" w:color="auto"/>
              <w:right w:val="single" w:sz="4" w:space="0" w:color="auto"/>
            </w:tcBorders>
            <w:shd w:val="clear" w:color="000000" w:fill="1F497D"/>
            <w:vAlign w:val="center"/>
            <w:hideMark/>
          </w:tcPr>
          <w:p w:rsidR="00F1710D" w:rsidRPr="001C05DE" w:rsidRDefault="00F1710D" w:rsidP="00F1710D">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Large Business</w:t>
            </w:r>
            <w:r>
              <w:rPr>
                <w:rFonts w:ascii="Arial" w:eastAsia="Times New Roman" w:hAnsi="Arial" w:cs="Arial"/>
                <w:b/>
                <w:bCs/>
                <w:color w:val="FFFFFF"/>
                <w:sz w:val="20"/>
                <w:szCs w:val="20"/>
              </w:rPr>
              <w:t xml:space="preserve"> ($/kWh)</w:t>
            </w:r>
          </w:p>
        </w:tc>
      </w:tr>
      <w:tr w:rsidR="00F1710D" w:rsidRPr="001C05DE" w:rsidTr="007E27DB">
        <w:trPr>
          <w:trHeight w:val="255"/>
          <w:jc w:val="center"/>
        </w:trPr>
        <w:tc>
          <w:tcPr>
            <w:tcW w:w="3245" w:type="dxa"/>
            <w:tcBorders>
              <w:top w:val="nil"/>
              <w:left w:val="single" w:sz="4" w:space="0" w:color="auto"/>
              <w:bottom w:val="single" w:sz="4" w:space="0" w:color="auto"/>
              <w:right w:val="single" w:sz="4" w:space="0" w:color="auto"/>
            </w:tcBorders>
            <w:shd w:val="clear" w:color="auto" w:fill="auto"/>
            <w:noWrap/>
            <w:vAlign w:val="center"/>
            <w:hideMark/>
          </w:tcPr>
          <w:p w:rsidR="00F1710D" w:rsidRPr="001C05DE" w:rsidRDefault="00F1710D" w:rsidP="00F1710D">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hour, no</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F1710D" w:rsidRPr="001C05DE" w:rsidTr="007E27DB">
        <w:trPr>
          <w:trHeight w:val="255"/>
          <w:jc w:val="center"/>
        </w:trPr>
        <w:tc>
          <w:tcPr>
            <w:tcW w:w="3245" w:type="dxa"/>
            <w:tcBorders>
              <w:top w:val="nil"/>
              <w:left w:val="single" w:sz="4" w:space="0" w:color="auto"/>
              <w:bottom w:val="single" w:sz="4" w:space="0" w:color="auto"/>
              <w:right w:val="single" w:sz="4" w:space="0" w:color="auto"/>
            </w:tcBorders>
            <w:shd w:val="clear" w:color="auto" w:fill="auto"/>
            <w:noWrap/>
            <w:vAlign w:val="center"/>
            <w:hideMark/>
          </w:tcPr>
          <w:p w:rsidR="00F1710D" w:rsidRPr="001C05DE" w:rsidRDefault="00F1710D" w:rsidP="00F1710D">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hour,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F1710D" w:rsidRPr="001C05DE" w:rsidTr="007E27DB">
        <w:trPr>
          <w:trHeight w:val="255"/>
          <w:jc w:val="center"/>
        </w:trPr>
        <w:tc>
          <w:tcPr>
            <w:tcW w:w="3245" w:type="dxa"/>
            <w:tcBorders>
              <w:top w:val="nil"/>
              <w:left w:val="single" w:sz="4" w:space="0" w:color="auto"/>
              <w:bottom w:val="single" w:sz="4" w:space="0" w:color="auto"/>
              <w:right w:val="single" w:sz="4" w:space="0" w:color="auto"/>
            </w:tcBorders>
            <w:shd w:val="clear" w:color="auto" w:fill="auto"/>
            <w:noWrap/>
            <w:vAlign w:val="center"/>
            <w:hideMark/>
          </w:tcPr>
          <w:p w:rsidR="00F1710D" w:rsidRPr="001C05DE" w:rsidRDefault="00F1710D" w:rsidP="00F1710D">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2 hours,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F1710D" w:rsidRPr="001C05DE" w:rsidTr="007E27DB">
        <w:trPr>
          <w:trHeight w:val="255"/>
          <w:jc w:val="center"/>
        </w:trPr>
        <w:tc>
          <w:tcPr>
            <w:tcW w:w="3245" w:type="dxa"/>
            <w:tcBorders>
              <w:top w:val="nil"/>
              <w:left w:val="single" w:sz="4" w:space="0" w:color="auto"/>
              <w:bottom w:val="single" w:sz="4" w:space="0" w:color="auto"/>
              <w:right w:val="single" w:sz="4" w:space="0" w:color="auto"/>
            </w:tcBorders>
            <w:shd w:val="clear" w:color="auto" w:fill="auto"/>
            <w:noWrap/>
            <w:vAlign w:val="center"/>
            <w:hideMark/>
          </w:tcPr>
          <w:p w:rsidR="00F1710D" w:rsidRPr="001C05DE" w:rsidRDefault="00F1710D" w:rsidP="00F1710D">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8 hours, no</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F1710D" w:rsidRPr="001C05DE" w:rsidTr="007E27DB">
        <w:trPr>
          <w:trHeight w:val="255"/>
          <w:jc w:val="center"/>
        </w:trPr>
        <w:tc>
          <w:tcPr>
            <w:tcW w:w="3245" w:type="dxa"/>
            <w:tcBorders>
              <w:top w:val="nil"/>
              <w:left w:val="single" w:sz="4" w:space="0" w:color="auto"/>
              <w:bottom w:val="single" w:sz="4" w:space="0" w:color="auto"/>
              <w:right w:val="single" w:sz="4" w:space="0" w:color="auto"/>
            </w:tcBorders>
            <w:shd w:val="clear" w:color="auto" w:fill="auto"/>
            <w:noWrap/>
            <w:vAlign w:val="center"/>
            <w:hideMark/>
          </w:tcPr>
          <w:p w:rsidR="00F1710D" w:rsidRPr="001C05DE" w:rsidRDefault="00F1710D" w:rsidP="00F1710D">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8 hours,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F1710D" w:rsidRPr="001C05DE" w:rsidTr="007E27DB">
        <w:trPr>
          <w:trHeight w:val="255"/>
          <w:jc w:val="center"/>
        </w:trPr>
        <w:tc>
          <w:tcPr>
            <w:tcW w:w="3245" w:type="dxa"/>
            <w:tcBorders>
              <w:top w:val="nil"/>
              <w:left w:val="single" w:sz="4" w:space="0" w:color="auto"/>
              <w:bottom w:val="single" w:sz="4" w:space="0" w:color="auto"/>
              <w:right w:val="single" w:sz="4" w:space="0" w:color="auto"/>
            </w:tcBorders>
            <w:shd w:val="clear" w:color="auto" w:fill="auto"/>
            <w:noWrap/>
            <w:vAlign w:val="center"/>
            <w:hideMark/>
          </w:tcPr>
          <w:p w:rsidR="00F1710D" w:rsidRPr="001C05DE" w:rsidRDefault="00F1710D" w:rsidP="00F1710D">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hour, no warning, winter</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F1710D" w:rsidRPr="006A335F" w:rsidRDefault="006A335F" w:rsidP="00F1710D">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bl>
    <w:p w:rsidR="009833BC" w:rsidRDefault="009833BC" w:rsidP="00B34322">
      <w:pPr>
        <w:pStyle w:val="BodyParagraph"/>
      </w:pPr>
    </w:p>
    <w:p w:rsidR="006D1E90" w:rsidRDefault="006D1E90" w:rsidP="00B34322">
      <w:pPr>
        <w:pStyle w:val="Heading2"/>
      </w:pPr>
      <w:bookmarkStart w:id="4" w:name="_Toc327201504"/>
      <w:r>
        <w:t>Results for Multiple Outage Scenarios</w:t>
      </w:r>
      <w:bookmarkEnd w:id="4"/>
    </w:p>
    <w:p w:rsidR="0079618F" w:rsidRDefault="00C515BD" w:rsidP="00766B9F">
      <w:pPr>
        <w:pStyle w:val="BodyParagraph"/>
      </w:pPr>
      <w:r>
        <w:t xml:space="preserve">Table 1-5 provides the customer responses when asked about how the cost for each individual outage changes as the number of outages per summer increases.  For residential, commercial and industrial customers, around 80% of respondents indicated that the cost for each individual outage would stay the same.  </w:t>
      </w:r>
      <w:r w:rsidR="00247C7C" w:rsidRPr="00247C7C">
        <w:t>Another 17% to 20% of respondents indicated that cost per outage would increase</w:t>
      </w:r>
      <w:r>
        <w:t xml:space="preserve">.  </w:t>
      </w:r>
      <w:r w:rsidR="00416819">
        <w:t>For commercial and industrial customers that reported increasing costs, the open-ended, follow-up response to this question frequently indicated that they were concerned about losing customers as a result of frequent business interruptions.  One outage may not have much of an impact on customer perception, but frequent business interruptions as a result of power outages would lead to lost customers for some respondents.</w:t>
      </w:r>
    </w:p>
    <w:p w:rsidR="00766B9F" w:rsidRPr="00766B9F" w:rsidRDefault="00416819" w:rsidP="00766B9F">
      <w:pPr>
        <w:pStyle w:val="BodyParagraph"/>
      </w:pPr>
      <w:r>
        <w:t xml:space="preserve">For large business customers, all but one respondent indicated that the cost for each individual outage would stay the same.  </w:t>
      </w:r>
      <w:r w:rsidR="0079618F">
        <w:t>Although the large business</w:t>
      </w:r>
      <w:r w:rsidR="00766B9F">
        <w:t xml:space="preserve"> segment has </w:t>
      </w:r>
      <w:r w:rsidR="0079618F">
        <w:t>a substantially higher</w:t>
      </w:r>
      <w:r w:rsidR="00766B9F">
        <w:t xml:space="preserve"> percentage of respondents indicating that costs would stay the same, th</w:t>
      </w:r>
      <w:r>
        <w:t>is</w:t>
      </w:r>
      <w:r w:rsidR="00766B9F">
        <w:t xml:space="preserve"> difference may be due to the data collection method as o</w:t>
      </w:r>
      <w:r w:rsidR="0079618F">
        <w:t>pposed to characteristics specific to</w:t>
      </w:r>
      <w:r w:rsidR="00766B9F">
        <w:t xml:space="preserve"> large business customers.  Because large business customers were interviewed in-person, the trained interviewer </w:t>
      </w:r>
      <w:r>
        <w:t>ensured</w:t>
      </w:r>
      <w:r w:rsidR="00766B9F">
        <w:t xml:space="preserve"> that the respondent fully understood the question</w:t>
      </w:r>
      <w:r>
        <w:t xml:space="preserve"> before recording the response</w:t>
      </w:r>
      <w:r w:rsidR="00766B9F">
        <w:t>.</w:t>
      </w:r>
      <w:r w:rsidR="0079618F">
        <w:t xml:space="preserve">  </w:t>
      </w:r>
      <w:r>
        <w:t>For this particular question</w:t>
      </w:r>
      <w:r w:rsidR="0079618F">
        <w:t xml:space="preserve">, the interviewer was trained to </w:t>
      </w:r>
      <w:r>
        <w:t>confirm that the respondent understood that the question referred to the unit cost for each individual outage as frequency increases.  Based on some of the open-ended, follow-up responses for the other three customer classes, some respondents seemed to misunderstand the unit cost nature of the question and simply focused on costs overall, which made them more likely t</w:t>
      </w:r>
      <w:r w:rsidR="009F7B59">
        <w:t>o report that costs increase, even though the unit cost may not necessarily increase.</w:t>
      </w:r>
    </w:p>
    <w:p w:rsidR="001C05DE" w:rsidRDefault="001C05DE" w:rsidP="001C05DE">
      <w:pPr>
        <w:pStyle w:val="TableFigureCaption"/>
      </w:pPr>
      <w:r>
        <w:t>Table 1-5:</w:t>
      </w:r>
      <w:r>
        <w:br/>
        <w:t>“</w:t>
      </w:r>
      <w:r w:rsidRPr="00F23E22">
        <w:t xml:space="preserve">As the number of outages per summer increases, </w:t>
      </w:r>
      <w:r>
        <w:br/>
      </w:r>
      <w:r w:rsidRPr="00F23E22">
        <w:t xml:space="preserve">how does the cost for </w:t>
      </w:r>
      <w:r w:rsidRPr="00D341E4">
        <w:rPr>
          <w:u w:val="single"/>
        </w:rPr>
        <w:t>each</w:t>
      </w:r>
      <w:r w:rsidRPr="00F23E22">
        <w:t xml:space="preserve"> individual outage change?</w:t>
      </w:r>
      <w:r>
        <w:t xml:space="preserve">” – </w:t>
      </w:r>
      <w:proofErr w:type="gramStart"/>
      <w:r>
        <w:t>by</w:t>
      </w:r>
      <w:proofErr w:type="gramEnd"/>
      <w:r>
        <w:t xml:space="preserve"> Customer Class</w:t>
      </w:r>
    </w:p>
    <w:tbl>
      <w:tblPr>
        <w:tblW w:w="8300" w:type="dxa"/>
        <w:jc w:val="center"/>
        <w:tblInd w:w="93" w:type="dxa"/>
        <w:tblLook w:val="04A0"/>
      </w:tblPr>
      <w:tblGrid>
        <w:gridCol w:w="2700"/>
        <w:gridCol w:w="1400"/>
        <w:gridCol w:w="1400"/>
        <w:gridCol w:w="1400"/>
        <w:gridCol w:w="1400"/>
      </w:tblGrid>
      <w:tr w:rsidR="001C05DE" w:rsidRPr="001C05DE" w:rsidTr="001C05DE">
        <w:trPr>
          <w:trHeight w:val="510"/>
          <w:jc w:val="center"/>
        </w:trPr>
        <w:tc>
          <w:tcPr>
            <w:tcW w:w="2700" w:type="dxa"/>
            <w:tcBorders>
              <w:top w:val="single" w:sz="4" w:space="0" w:color="auto"/>
              <w:left w:val="single" w:sz="4" w:space="0" w:color="auto"/>
              <w:bottom w:val="single" w:sz="4" w:space="0" w:color="auto"/>
              <w:right w:val="single" w:sz="4" w:space="0" w:color="FFFFFF"/>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Response</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Residential</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Commercial</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Industrial</w:t>
            </w:r>
          </w:p>
        </w:tc>
        <w:tc>
          <w:tcPr>
            <w:tcW w:w="1400" w:type="dxa"/>
            <w:tcBorders>
              <w:top w:val="single" w:sz="4" w:space="0" w:color="auto"/>
              <w:left w:val="nil"/>
              <w:bottom w:val="single" w:sz="4" w:space="0" w:color="auto"/>
              <w:right w:val="single" w:sz="4" w:space="0" w:color="auto"/>
            </w:tcBorders>
            <w:shd w:val="clear" w:color="000000" w:fill="1F497D"/>
            <w:vAlign w:val="center"/>
            <w:hideMark/>
          </w:tcPr>
          <w:p w:rsidR="001C05DE" w:rsidRPr="001C05DE" w:rsidRDefault="001C05DE" w:rsidP="001C05DE">
            <w:pPr>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Large Business</w:t>
            </w:r>
          </w:p>
        </w:tc>
      </w:tr>
      <w:tr w:rsidR="001C05DE" w:rsidRPr="001C05DE" w:rsidTr="001C05DE">
        <w:trPr>
          <w:trHeight w:val="255"/>
          <w:jc w:val="center"/>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Stays the same</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78.3%</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78.3%</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82.2%</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99.0%</w:t>
            </w:r>
          </w:p>
        </w:tc>
      </w:tr>
      <w:tr w:rsidR="001C05DE" w:rsidRPr="001C05DE" w:rsidTr="001C05DE">
        <w:trPr>
          <w:trHeight w:val="255"/>
          <w:jc w:val="center"/>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Increases</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19.3%</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20.4%</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17.1%</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1.0%</w:t>
            </w:r>
          </w:p>
        </w:tc>
      </w:tr>
      <w:tr w:rsidR="001C05DE" w:rsidRPr="001C05DE" w:rsidTr="001C05DE">
        <w:trPr>
          <w:trHeight w:val="255"/>
          <w:jc w:val="center"/>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Decreases</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2.4%</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1.3%</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0.7%</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0.0%</w:t>
            </w:r>
          </w:p>
        </w:tc>
      </w:tr>
    </w:tbl>
    <w:p w:rsidR="001C05DE" w:rsidRDefault="00AE0814" w:rsidP="00416819">
      <w:pPr>
        <w:pStyle w:val="BodyParaAfterTableFigure"/>
      </w:pPr>
      <w:r>
        <w:t xml:space="preserve">Table 1-6 provides the 2012 EUE cost estimates by customer class as the number of outages increases.  As suggested by Table 1-5, there is clearly no trend in EUE cost for large business customers as outage frequency increases.  </w:t>
      </w:r>
      <w:r w:rsidR="00A369C7">
        <w:t xml:space="preserve">There is no clear trend for the residential segment as well.  For commercial customers, there seems to be a slight increase in EUE cost as outage frequency increases.  However, this trend is not </w:t>
      </w:r>
      <w:r w:rsidR="00A76F8C">
        <w:t xml:space="preserve">statistically </w:t>
      </w:r>
      <w:r w:rsidR="00A369C7">
        <w:t>significant as there is substantial overlap in the confidence intervals across all scenarios.</w:t>
      </w:r>
      <w:r w:rsidR="00A76F8C" w:rsidRPr="00A76F8C">
        <w:t xml:space="preserve"> For industrial customers, the EUE costs vary greatly, but these differences are </w:t>
      </w:r>
      <w:r w:rsidR="00A76F8C">
        <w:t xml:space="preserve">also </w:t>
      </w:r>
      <w:r w:rsidR="00A76F8C" w:rsidRPr="00A76F8C">
        <w:t xml:space="preserve">not statistically significant because of the width of the confidence intervals </w:t>
      </w:r>
      <w:r w:rsidR="00A76F8C">
        <w:t>across the</w:t>
      </w:r>
      <w:r w:rsidR="00A76F8C" w:rsidRPr="00A76F8C">
        <w:t xml:space="preserve"> scenarios.</w:t>
      </w:r>
      <w:r w:rsidR="009F7B59">
        <w:t xml:space="preserve">  </w:t>
      </w:r>
      <w:r w:rsidR="00A76F8C" w:rsidRPr="00A76F8C">
        <w:t>See Section 4 for fur</w:t>
      </w:r>
      <w:r w:rsidR="00A76F8C">
        <w:t>ther discussion of these issues</w:t>
      </w:r>
      <w:r w:rsidR="00A76F8C" w:rsidRPr="00A76F8C">
        <w:t xml:space="preserve"> and for the </w:t>
      </w:r>
      <w:r w:rsidR="00A76F8C">
        <w:t>c</w:t>
      </w:r>
      <w:r w:rsidR="009F7B59">
        <w:t>onfidence intervals for each outage scenario and customer</w:t>
      </w:r>
      <w:r w:rsidR="00A76F8C">
        <w:t xml:space="preserve"> class</w:t>
      </w:r>
      <w:r w:rsidR="009F7B59">
        <w:t>.</w:t>
      </w:r>
    </w:p>
    <w:p w:rsidR="001C05DE" w:rsidRDefault="001C05DE" w:rsidP="00912C2F">
      <w:pPr>
        <w:pStyle w:val="TableFigureCaption"/>
      </w:pPr>
      <w:r>
        <w:t>Table 1-6:</w:t>
      </w:r>
      <w:r>
        <w:br/>
      </w:r>
      <w:r w:rsidRPr="00F23E22">
        <w:t xml:space="preserve">2012 EUE Cost as the Number of Outages Increases – </w:t>
      </w:r>
      <w:r>
        <w:t>by Customer Class</w:t>
      </w:r>
    </w:p>
    <w:tbl>
      <w:tblPr>
        <w:tblW w:w="9102" w:type="dxa"/>
        <w:jc w:val="center"/>
        <w:tblInd w:w="-709" w:type="dxa"/>
        <w:tblLook w:val="04A0"/>
      </w:tblPr>
      <w:tblGrid>
        <w:gridCol w:w="3502"/>
        <w:gridCol w:w="1400"/>
        <w:gridCol w:w="1400"/>
        <w:gridCol w:w="1400"/>
        <w:gridCol w:w="1400"/>
      </w:tblGrid>
      <w:tr w:rsidR="001C05DE" w:rsidRPr="001C05DE" w:rsidTr="00A01401">
        <w:trPr>
          <w:trHeight w:val="510"/>
          <w:jc w:val="center"/>
        </w:trPr>
        <w:tc>
          <w:tcPr>
            <w:tcW w:w="3502" w:type="dxa"/>
            <w:tcBorders>
              <w:top w:val="single" w:sz="4" w:space="0" w:color="auto"/>
              <w:left w:val="single" w:sz="4" w:space="0" w:color="auto"/>
              <w:bottom w:val="single" w:sz="4" w:space="0" w:color="auto"/>
              <w:right w:val="single" w:sz="4" w:space="0" w:color="FFFFFF"/>
            </w:tcBorders>
            <w:shd w:val="clear" w:color="000000" w:fill="1F497D"/>
            <w:vAlign w:val="center"/>
            <w:hideMark/>
          </w:tcPr>
          <w:p w:rsidR="001C05DE" w:rsidRPr="001C05DE" w:rsidRDefault="001C05DE" w:rsidP="00912C2F">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Outage Scenario</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912C2F">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Residential</w:t>
            </w:r>
            <w:r w:rsidR="00EF1EF7">
              <w:rPr>
                <w:rFonts w:ascii="Arial" w:eastAsia="Times New Roman" w:hAnsi="Arial" w:cs="Arial"/>
                <w:b/>
                <w:bCs/>
                <w:color w:val="FFFFFF"/>
                <w:sz w:val="20"/>
                <w:szCs w:val="20"/>
              </w:rPr>
              <w:t xml:space="preserve"> ($/kWh)</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912C2F">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Commercial</w:t>
            </w:r>
            <w:r w:rsidR="00EF1EF7">
              <w:rPr>
                <w:rFonts w:ascii="Arial" w:eastAsia="Times New Roman" w:hAnsi="Arial" w:cs="Arial"/>
                <w:b/>
                <w:bCs/>
                <w:color w:val="FFFFFF"/>
                <w:sz w:val="20"/>
                <w:szCs w:val="20"/>
              </w:rPr>
              <w:t xml:space="preserve"> ($/kWh)</w:t>
            </w:r>
          </w:p>
        </w:tc>
        <w:tc>
          <w:tcPr>
            <w:tcW w:w="1400" w:type="dxa"/>
            <w:tcBorders>
              <w:top w:val="single" w:sz="4" w:space="0" w:color="auto"/>
              <w:left w:val="nil"/>
              <w:bottom w:val="single" w:sz="4" w:space="0" w:color="auto"/>
              <w:right w:val="single" w:sz="4" w:space="0" w:color="FFFFFF"/>
            </w:tcBorders>
            <w:shd w:val="clear" w:color="000000" w:fill="1F497D"/>
            <w:vAlign w:val="center"/>
            <w:hideMark/>
          </w:tcPr>
          <w:p w:rsidR="001C05DE" w:rsidRPr="001C05DE" w:rsidRDefault="001C05DE" w:rsidP="00912C2F">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Industrial</w:t>
            </w:r>
            <w:r w:rsidR="00EF1EF7">
              <w:rPr>
                <w:rFonts w:ascii="Arial" w:eastAsia="Times New Roman" w:hAnsi="Arial" w:cs="Arial"/>
                <w:b/>
                <w:bCs/>
                <w:color w:val="FFFFFF"/>
                <w:sz w:val="20"/>
                <w:szCs w:val="20"/>
              </w:rPr>
              <w:t xml:space="preserve"> ($/kWh)</w:t>
            </w:r>
          </w:p>
        </w:tc>
        <w:tc>
          <w:tcPr>
            <w:tcW w:w="1400" w:type="dxa"/>
            <w:tcBorders>
              <w:top w:val="single" w:sz="4" w:space="0" w:color="auto"/>
              <w:left w:val="nil"/>
              <w:bottom w:val="single" w:sz="4" w:space="0" w:color="auto"/>
              <w:right w:val="single" w:sz="4" w:space="0" w:color="auto"/>
            </w:tcBorders>
            <w:shd w:val="clear" w:color="000000" w:fill="1F497D"/>
            <w:vAlign w:val="center"/>
            <w:hideMark/>
          </w:tcPr>
          <w:p w:rsidR="001C05DE" w:rsidRPr="001C05DE" w:rsidRDefault="001C05DE" w:rsidP="00912C2F">
            <w:pPr>
              <w:keepNext/>
              <w:spacing w:before="60" w:after="60" w:line="240" w:lineRule="auto"/>
              <w:jc w:val="center"/>
              <w:rPr>
                <w:rFonts w:ascii="Arial" w:eastAsia="Times New Roman" w:hAnsi="Arial" w:cs="Arial"/>
                <w:b/>
                <w:bCs/>
                <w:color w:val="FFFFFF"/>
                <w:sz w:val="20"/>
                <w:szCs w:val="20"/>
              </w:rPr>
            </w:pPr>
            <w:r w:rsidRPr="001C05DE">
              <w:rPr>
                <w:rFonts w:ascii="Arial" w:eastAsia="Times New Roman" w:hAnsi="Arial" w:cs="Arial"/>
                <w:b/>
                <w:bCs/>
                <w:color w:val="FFFFFF"/>
                <w:sz w:val="20"/>
                <w:szCs w:val="20"/>
              </w:rPr>
              <w:t>Large Business</w:t>
            </w:r>
            <w:r w:rsidR="00EF1EF7">
              <w:rPr>
                <w:rFonts w:ascii="Arial" w:eastAsia="Times New Roman" w:hAnsi="Arial" w:cs="Arial"/>
                <w:b/>
                <w:bCs/>
                <w:color w:val="FFFFFF"/>
                <w:sz w:val="20"/>
                <w:szCs w:val="20"/>
              </w:rPr>
              <w:t xml:space="preserve"> ($/kWh)</w:t>
            </w:r>
          </w:p>
        </w:tc>
      </w:tr>
      <w:tr w:rsidR="001C05DE" w:rsidRPr="001C05DE" w:rsidTr="00A01401">
        <w:trPr>
          <w:trHeight w:val="255"/>
          <w:jc w:val="center"/>
        </w:trPr>
        <w:tc>
          <w:tcPr>
            <w:tcW w:w="3502"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912C2F">
            <w:pPr>
              <w:keepNext/>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1 x 1 hour,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1C05DE" w:rsidRPr="001C05DE" w:rsidTr="00A01401">
        <w:trPr>
          <w:trHeight w:val="255"/>
          <w:jc w:val="center"/>
        </w:trPr>
        <w:tc>
          <w:tcPr>
            <w:tcW w:w="3502"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912C2F">
            <w:pPr>
              <w:keepNext/>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2 x 1 hour,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1C05DE" w:rsidRPr="001C05DE" w:rsidTr="00A01401">
        <w:trPr>
          <w:trHeight w:val="255"/>
          <w:jc w:val="center"/>
        </w:trPr>
        <w:tc>
          <w:tcPr>
            <w:tcW w:w="3502"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912C2F">
            <w:pPr>
              <w:keepNext/>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3 x 1 hour,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1C05DE" w:rsidRPr="001C05DE" w:rsidTr="00A01401">
        <w:trPr>
          <w:trHeight w:val="255"/>
          <w:jc w:val="center"/>
        </w:trPr>
        <w:tc>
          <w:tcPr>
            <w:tcW w:w="3502"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912C2F">
            <w:pPr>
              <w:keepNext/>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4 x 1 hour,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912C2F">
            <w:pPr>
              <w:keepNext/>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r w:rsidR="001C05DE" w:rsidRPr="001C05DE" w:rsidTr="00A01401">
        <w:trPr>
          <w:trHeight w:val="255"/>
          <w:jc w:val="center"/>
        </w:trPr>
        <w:tc>
          <w:tcPr>
            <w:tcW w:w="3502" w:type="dxa"/>
            <w:tcBorders>
              <w:top w:val="nil"/>
              <w:left w:val="single" w:sz="4" w:space="0" w:color="auto"/>
              <w:bottom w:val="single" w:sz="4" w:space="0" w:color="auto"/>
              <w:right w:val="single" w:sz="4" w:space="0" w:color="auto"/>
            </w:tcBorders>
            <w:shd w:val="clear" w:color="auto" w:fill="auto"/>
            <w:noWrap/>
            <w:vAlign w:val="center"/>
            <w:hideMark/>
          </w:tcPr>
          <w:p w:rsidR="001C05DE" w:rsidRPr="001C05DE" w:rsidRDefault="001C05DE" w:rsidP="001C05DE">
            <w:pPr>
              <w:spacing w:before="60" w:after="60" w:line="240" w:lineRule="auto"/>
              <w:jc w:val="center"/>
              <w:rPr>
                <w:rFonts w:ascii="Arial" w:eastAsia="Times New Roman" w:hAnsi="Arial" w:cs="Arial"/>
                <w:color w:val="000000"/>
                <w:sz w:val="20"/>
                <w:szCs w:val="20"/>
              </w:rPr>
            </w:pPr>
            <w:r w:rsidRPr="001C05DE">
              <w:rPr>
                <w:rFonts w:ascii="Arial" w:eastAsia="Times New Roman" w:hAnsi="Arial" w:cs="Arial"/>
                <w:color w:val="000000"/>
                <w:sz w:val="20"/>
                <w:szCs w:val="20"/>
              </w:rPr>
              <w:t>5 x 1 hour, with</w:t>
            </w:r>
            <w:r w:rsidR="007E27DB">
              <w:rPr>
                <w:rFonts w:ascii="Arial" w:eastAsia="Times New Roman" w:hAnsi="Arial" w:cs="Arial"/>
                <w:color w:val="000000"/>
                <w:sz w:val="20"/>
                <w:szCs w:val="20"/>
              </w:rPr>
              <w:t xml:space="preserve"> warning, summer</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c>
          <w:tcPr>
            <w:tcW w:w="1400" w:type="dxa"/>
            <w:tcBorders>
              <w:top w:val="nil"/>
              <w:left w:val="nil"/>
              <w:bottom w:val="single" w:sz="4" w:space="0" w:color="auto"/>
              <w:right w:val="single" w:sz="4" w:space="0" w:color="auto"/>
            </w:tcBorders>
            <w:shd w:val="clear" w:color="auto" w:fill="auto"/>
            <w:noWrap/>
            <w:vAlign w:val="center"/>
            <w:hideMark/>
          </w:tcPr>
          <w:p w:rsidR="001C05DE" w:rsidRPr="006A335F" w:rsidRDefault="006A335F" w:rsidP="001C05DE">
            <w:pPr>
              <w:spacing w:before="60" w:after="6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REDACTED</w:t>
            </w:r>
          </w:p>
        </w:tc>
      </w:tr>
    </w:tbl>
    <w:p w:rsidR="00F1710D" w:rsidRDefault="00F1710D" w:rsidP="00F1710D">
      <w:pPr>
        <w:pStyle w:val="BodyParagraph"/>
      </w:pPr>
    </w:p>
    <w:p w:rsidR="006D1E90" w:rsidRDefault="006D1E90" w:rsidP="006D1E90">
      <w:pPr>
        <w:pStyle w:val="Heading2"/>
      </w:pPr>
      <w:bookmarkStart w:id="5" w:name="_Toc327201505"/>
      <w:r>
        <w:t>Comparison to 1990 Outage Cost Study</w:t>
      </w:r>
      <w:bookmarkEnd w:id="5"/>
    </w:p>
    <w:p w:rsidR="00E752C9" w:rsidRPr="001C2D94" w:rsidRDefault="00EF2544" w:rsidP="001C2D94">
      <w:pPr>
        <w:pStyle w:val="BodyParagraph"/>
      </w:pPr>
      <w:r>
        <w:t xml:space="preserve">To compare this study with the previous study, the 1990 EUE cost estimates were converted to 2012 dollars using the gross domestic product deflator, which was obtained from the U.S. Department of Commerce’s Bureau of Economic Analysis.  The residential EUE cost estimates are roughly consistent between the two studies.  However, EUE cost estimates for the non-residential customer classes are significantly higher in this study.  Commercial EUE cost estimates are roughly double, industrial estimates are 133% higher and large business EUE cost is more than 140% higher.  Although the business environment and mix of industries in Georgia and Mississippi have changed substantially over the past 22 years, the increase in EUE cost is mostly due to a methodological difference between the two studies as opposed to changes in underlying customer costs.  </w:t>
      </w:r>
      <w:r w:rsidRPr="00FD2157">
        <w:rPr>
          <w:rFonts w:cs="Arial"/>
          <w:szCs w:val="20"/>
        </w:rPr>
        <w:t>For this study, the top 0.5% of values normalized by usage was dropped from the analysis for the residential, commercial and industrial segments, which is the current standard practice for this type of survey.  For the previous study, the values that exceeded the estimated cost associated with the installation of backup generation or uninterruptible power supply (UPS) to avoid a given outage scenario were dropped from the analysis for the residential, commercial and industrial segments. The approach utilized in this study includes more high cost responses</w:t>
      </w:r>
      <w:r w:rsidRPr="002E0B08">
        <w:rPr>
          <w:rFonts w:cs="Arial"/>
          <w:szCs w:val="20"/>
        </w:rPr>
        <w:t xml:space="preserve"> </w:t>
      </w:r>
      <w:r>
        <w:rPr>
          <w:rFonts w:cs="Arial"/>
          <w:szCs w:val="20"/>
        </w:rPr>
        <w:t>than the previous study</w:t>
      </w:r>
      <w:r w:rsidRPr="00FD2157">
        <w:rPr>
          <w:rFonts w:cs="Arial"/>
          <w:szCs w:val="20"/>
        </w:rPr>
        <w:t xml:space="preserve"> and is more appropriate because expecting customers to provide back-up generation is unreasonable as backup power's costs and frequency of use are very uncertain.</w:t>
      </w:r>
      <w:r>
        <w:rPr>
          <w:rFonts w:cs="Arial"/>
          <w:szCs w:val="20"/>
        </w:rPr>
        <w:t xml:space="preserve"> </w:t>
      </w:r>
      <w:r>
        <w:t>Section 5 provides more details on the rationale for this methodological change and discusses why the EUE cost estimates from this study are a significant improvement on the estimates from the 1990 study.</w:t>
      </w:r>
      <w:r w:rsidR="00E752C9">
        <w:br w:type="page"/>
      </w:r>
    </w:p>
    <w:p w:rsidR="00B34322" w:rsidRDefault="00B34322" w:rsidP="00B34322">
      <w:pPr>
        <w:pStyle w:val="Heading1"/>
      </w:pPr>
      <w:bookmarkStart w:id="6" w:name="_Toc327201506"/>
      <w:r>
        <w:t>Introduction</w:t>
      </w:r>
      <w:bookmarkEnd w:id="6"/>
    </w:p>
    <w:p w:rsidR="00E752C9" w:rsidRDefault="00F61FC1" w:rsidP="00E752C9">
      <w:pPr>
        <w:pStyle w:val="BodyBeforeBullet"/>
      </w:pPr>
      <w:r>
        <w:t xml:space="preserve">Freeman, Sullivan &amp; Co. </w:t>
      </w:r>
      <w:r w:rsidR="002B1185">
        <w:t xml:space="preserve">(FSC) </w:t>
      </w:r>
      <w:r>
        <w:t>was retained by Southern Company to conduct its 2012 expected unserved energy (EUE) cost study.  In this report, we</w:t>
      </w:r>
      <w:r w:rsidR="00E752C9">
        <w:t xml:space="preserve"> summarize the methodology and results of </w:t>
      </w:r>
      <w:r>
        <w:t>the</w:t>
      </w:r>
      <w:r w:rsidR="00E752C9" w:rsidRPr="0084142C">
        <w:t xml:space="preserve"> </w:t>
      </w:r>
      <w:r w:rsidR="00E752C9">
        <w:t>s</w:t>
      </w:r>
      <w:r w:rsidR="00E752C9" w:rsidRPr="0084142C">
        <w:t>tudy</w:t>
      </w:r>
      <w:r w:rsidR="00E752C9">
        <w:t xml:space="preserve">.  The primary objectives of </w:t>
      </w:r>
      <w:r>
        <w:t>the 2012 EUE cost</w:t>
      </w:r>
      <w:r w:rsidR="00E752C9">
        <w:t xml:space="preserve"> study were to:</w:t>
      </w:r>
    </w:p>
    <w:p w:rsidR="00E73B45" w:rsidRDefault="00E73B45" w:rsidP="00E73B45">
      <w:pPr>
        <w:pStyle w:val="Bullets"/>
      </w:pPr>
      <w:r>
        <w:t>Estimate EUE cost by customer class for outages that occur during time periods with high system demand; and</w:t>
      </w:r>
    </w:p>
    <w:p w:rsidR="00E73B45" w:rsidRDefault="00E73B45" w:rsidP="00E73B45">
      <w:pPr>
        <w:pStyle w:val="BulletLast"/>
      </w:pPr>
      <w:r>
        <w:t>Assess how EUE cost by customer class changes as the number of outages per summer</w:t>
      </w:r>
      <w:r w:rsidR="00832E58">
        <w:t> </w:t>
      </w:r>
      <w:r>
        <w:t>increases.</w:t>
      </w:r>
    </w:p>
    <w:p w:rsidR="00E73B45" w:rsidRDefault="00E73B45" w:rsidP="00E73B45">
      <w:pPr>
        <w:pStyle w:val="BodyParagraph"/>
      </w:pPr>
      <w:r>
        <w:t>Considering that this report is similar to a study that was conducted over 20 years ago, a secondary objective was to compare the 1990 EUE cost estimates to the 2012 estimates.</w:t>
      </w:r>
    </w:p>
    <w:p w:rsidR="00365DB6" w:rsidRDefault="00365DB6" w:rsidP="00365DB6">
      <w:pPr>
        <w:pStyle w:val="Heading2"/>
      </w:pPr>
      <w:bookmarkStart w:id="7" w:name="_Toc327201507"/>
      <w:r>
        <w:t>Evaluating Reliability Benefits</w:t>
      </w:r>
      <w:bookmarkEnd w:id="7"/>
    </w:p>
    <w:p w:rsidR="00E73B45" w:rsidRDefault="00E73B45" w:rsidP="00E73B45">
      <w:pPr>
        <w:pStyle w:val="BodyParagraph"/>
      </w:pPr>
      <w:r>
        <w:t>EUE is the expected quantity of electricity that would have been consumed if a power outage had not occurred.  Its cost is the value that customers place on receiving service, commonly known as value of service.  Since the value of service reliability cannot be measured directly, it is estimated from outage cost surveys of utility customers.  These cost estimates can be used to assess the cost-effectiveness of investments in generation, transmission and distribution systems and to strategically compare alternative investments in order to determine which provides the most combined benefits to the utility and its</w:t>
      </w:r>
      <w:r w:rsidR="00832E58">
        <w:t> </w:t>
      </w:r>
      <w:r>
        <w:t>customers.</w:t>
      </w:r>
    </w:p>
    <w:p w:rsidR="00E73B45" w:rsidRDefault="00E73B45" w:rsidP="00E73B45">
      <w:pPr>
        <w:pStyle w:val="BodyParagraph"/>
      </w:pPr>
      <w:r>
        <w:t>Since the 1990 EUE cost study, Southern Company has frequently applied the cost of unserved energy as a result of supply shortages in its generation planning.  By incorporating the cost of customer outages into its generation planning, Southern Company has been able to optimiz</w:t>
      </w:r>
      <w:r w:rsidR="000D462D">
        <w:t>e its generation reserve margin based not only on utility costs, but on customer outage costs as well.</w:t>
      </w:r>
      <w:r w:rsidR="006A343F">
        <w:rPr>
          <w:rStyle w:val="FootnoteReference"/>
        </w:rPr>
        <w:footnoteReference w:id="3"/>
      </w:r>
      <w:r w:rsidR="000D462D">
        <w:t xml:space="preserve">  This comprehensive approach to valuing reliability, commonly known as “va</w:t>
      </w:r>
      <w:r w:rsidR="00297908">
        <w:t>lue-based reliability planning,”</w:t>
      </w:r>
      <w:r w:rsidR="000D462D">
        <w:t xml:space="preserve"> has been a well-established theo</w:t>
      </w:r>
      <w:r w:rsidR="006A343F">
        <w:t>retical concept in the utility</w:t>
      </w:r>
      <w:r w:rsidR="00197D3C">
        <w:t xml:space="preserve"> industry</w:t>
      </w:r>
      <w:r w:rsidR="000D462D">
        <w:t xml:space="preserve"> </w:t>
      </w:r>
      <w:r w:rsidR="00AB0340">
        <w:t>for the past 30</w:t>
      </w:r>
      <w:r w:rsidR="006A343F">
        <w:t xml:space="preserve"> years</w:t>
      </w:r>
      <w:r w:rsidR="00AB0340">
        <w:t>.</w:t>
      </w:r>
      <w:r w:rsidR="00AB0340">
        <w:rPr>
          <w:rStyle w:val="FootnoteReference"/>
        </w:rPr>
        <w:footnoteReference w:id="4"/>
      </w:r>
      <w:r w:rsidR="000D462D">
        <w:t xml:space="preserve"> </w:t>
      </w:r>
      <w:r w:rsidR="00AB0340">
        <w:t xml:space="preserve"> Nonetheless, Southern Company </w:t>
      </w:r>
      <w:r w:rsidR="00197D3C">
        <w:t>is</w:t>
      </w:r>
      <w:r w:rsidR="00AB0340">
        <w:t xml:space="preserve"> one of </w:t>
      </w:r>
      <w:r w:rsidR="000D462D">
        <w:t xml:space="preserve">few utilities </w:t>
      </w:r>
      <w:r w:rsidR="00AB0340">
        <w:t xml:space="preserve">that </w:t>
      </w:r>
      <w:proofErr w:type="gramStart"/>
      <w:r w:rsidR="000D462D">
        <w:t>ha</w:t>
      </w:r>
      <w:r w:rsidR="00AB0340">
        <w:t>s</w:t>
      </w:r>
      <w:proofErr w:type="gramEnd"/>
      <w:r w:rsidR="00AB0340">
        <w:t xml:space="preserve"> </w:t>
      </w:r>
      <w:r w:rsidR="00197D3C">
        <w:t>successfully applied</w:t>
      </w:r>
      <w:r w:rsidR="00AB0340">
        <w:t xml:space="preserve"> the theory </w:t>
      </w:r>
      <w:r w:rsidR="00F04F94">
        <w:t>by</w:t>
      </w:r>
      <w:r w:rsidR="00AB0340">
        <w:t xml:space="preserve"> incorporating the cost of customer outages into its generation planning.</w:t>
      </w:r>
      <w:r w:rsidR="00F04F94">
        <w:t xml:space="preserve">  Results from the 2012 EUE cost study will improve this planning practice by providing updated EUE cost estimates.</w:t>
      </w:r>
    </w:p>
    <w:p w:rsidR="00365DB6" w:rsidRDefault="00365DB6" w:rsidP="00365DB6">
      <w:pPr>
        <w:pStyle w:val="Heading2"/>
      </w:pPr>
      <w:bookmarkStart w:id="8" w:name="_Toc327201508"/>
      <w:r>
        <w:t>Study Methodology</w:t>
      </w:r>
      <w:bookmarkEnd w:id="8"/>
    </w:p>
    <w:p w:rsidR="00E73B45" w:rsidRDefault="00365DB6" w:rsidP="00E73B45">
      <w:pPr>
        <w:pStyle w:val="BodyParagraph"/>
      </w:pPr>
      <w:r>
        <w:t>The</w:t>
      </w:r>
      <w:r w:rsidR="00E73B45">
        <w:t xml:space="preserve"> objectives</w:t>
      </w:r>
      <w:r>
        <w:t xml:space="preserve"> above</w:t>
      </w:r>
      <w:r w:rsidR="00E73B45">
        <w:t xml:space="preserve"> were addressed in this study by conducting an outag</w:t>
      </w:r>
      <w:r w:rsidR="00F06245">
        <w:t xml:space="preserve">e cost survey of </w:t>
      </w:r>
      <w:r w:rsidR="00E73B45">
        <w:t>GPC and MPC customers.  This survey methodology has been implemented by many electric utilities throughout the United States over the past 25 years.  This</w:t>
      </w:r>
      <w:r w:rsidR="00F06245">
        <w:t xml:space="preserve"> study and</w:t>
      </w:r>
      <w:r w:rsidR="00E73B45">
        <w:t xml:space="preserve"> prior studies employed a common survey methodology, including sample designs, measurement protocols, survey instruments and operating procedures.  This methodology is described in detail in EPRI’s Outage Cost Estimation Guidebook.</w:t>
      </w:r>
      <w:r w:rsidR="00E73B45">
        <w:rPr>
          <w:rStyle w:val="FootnoteReference"/>
        </w:rPr>
        <w:footnoteReference w:id="5"/>
      </w:r>
      <w:r w:rsidR="00E73B45">
        <w:t xml:space="preserve">  The results of 28 prior studies are part of a meta-analysis of nationwide outage costs that is summarized in a 2009 report by Lawrence Berkeley National Laboratory.</w:t>
      </w:r>
      <w:r w:rsidR="00E73B45">
        <w:rPr>
          <w:rStyle w:val="FootnoteReference"/>
        </w:rPr>
        <w:footnoteReference w:id="6"/>
      </w:r>
    </w:p>
    <w:p w:rsidR="00E73B45" w:rsidRDefault="00E73B45" w:rsidP="00E73B45">
      <w:pPr>
        <w:pStyle w:val="BodyBeforeBullet"/>
      </w:pPr>
      <w:r>
        <w:t>The survey was conducted among the following four customer classes:</w:t>
      </w:r>
    </w:p>
    <w:p w:rsidR="00E73B45" w:rsidRDefault="00E73B45" w:rsidP="00E73B45">
      <w:pPr>
        <w:pStyle w:val="Bullets"/>
      </w:pPr>
      <w:r>
        <w:t>Residential;</w:t>
      </w:r>
    </w:p>
    <w:p w:rsidR="00E73B45" w:rsidRDefault="00E73B45" w:rsidP="00E73B45">
      <w:pPr>
        <w:pStyle w:val="Bullets"/>
      </w:pPr>
      <w:r>
        <w:t>Commercial (below 1 MW average demand);</w:t>
      </w:r>
    </w:p>
    <w:p w:rsidR="00E73B45" w:rsidRDefault="00E73B45" w:rsidP="00E73B45">
      <w:pPr>
        <w:pStyle w:val="Bullets"/>
      </w:pPr>
      <w:r>
        <w:t>Industrial (below 1 MW average demand); and</w:t>
      </w:r>
    </w:p>
    <w:p w:rsidR="00E73B45" w:rsidRDefault="00E73B45" w:rsidP="00E73B45">
      <w:pPr>
        <w:pStyle w:val="BulletLast"/>
      </w:pPr>
      <w:r>
        <w:t>Large business (commercial and industrial customers above 1 MW average demand).</w:t>
      </w:r>
    </w:p>
    <w:p w:rsidR="00E73B45" w:rsidRDefault="00E73B45" w:rsidP="00E73B45">
      <w:pPr>
        <w:pStyle w:val="BodyParagraph"/>
      </w:pPr>
      <w:r>
        <w:t>Large business customers above 1 MW average demand were part of a separate segment because the data collection method was different (in-person interview) and prior studies have consistently shown that high usage customers have substantially different EUE costs.</w:t>
      </w:r>
    </w:p>
    <w:p w:rsidR="00A90CC5" w:rsidRDefault="00CB5FBB" w:rsidP="00CB5FBB">
      <w:pPr>
        <w:pStyle w:val="Heading2"/>
      </w:pPr>
      <w:bookmarkStart w:id="9" w:name="_Toc327201509"/>
      <w:r>
        <w:t>Report Structure</w:t>
      </w:r>
      <w:bookmarkEnd w:id="9"/>
    </w:p>
    <w:p w:rsidR="00E158D5" w:rsidRPr="00CB5FBB" w:rsidRDefault="00CB5FBB" w:rsidP="00CB5FBB">
      <w:pPr>
        <w:pStyle w:val="BodyParagraph"/>
      </w:pPr>
      <w:r>
        <w:t xml:space="preserve">The rest of this report proceeds as follows.  Section 3 covers the methodology of the study, including the survey instrument design, sample design and data collection procedures.  Section 4 begins with an explanation of how the key results of this study were calculated and then provides detailed outage cost estimates for each customer class.  Section 5 is a comparison of the 2012 EUE cost estimates with the 1990 EUE cost estimates.  In Appendix A, an analysis of non-response bias for the survey is presented.  </w:t>
      </w:r>
      <w:r w:rsidR="001F782C">
        <w:t xml:space="preserve">Appendix B provides survey results related to an alternative valuation of service reliability.  </w:t>
      </w:r>
      <w:r>
        <w:t>The remaining appendices include the survey instruments for each customer class.</w:t>
      </w:r>
      <w:r w:rsidR="00E158D5">
        <w:br w:type="page"/>
      </w:r>
    </w:p>
    <w:p w:rsidR="00A8783F" w:rsidRDefault="00A8783F" w:rsidP="00B34322">
      <w:pPr>
        <w:pStyle w:val="Heading1"/>
        <w:sectPr w:rsidR="00A8783F" w:rsidSect="00D04113">
          <w:pgSz w:w="12240" w:h="15840"/>
          <w:pgMar w:top="1440" w:right="1440" w:bottom="1440" w:left="1440" w:header="720" w:footer="720" w:gutter="0"/>
          <w:pgNumType w:start="1"/>
          <w:cols w:space="720"/>
          <w:docGrid w:linePitch="360"/>
        </w:sectPr>
      </w:pPr>
      <w:bookmarkStart w:id="10" w:name="_Toc327201510"/>
    </w:p>
    <w:bookmarkEnd w:id="10"/>
    <w:p w:rsidR="003B3C74" w:rsidRPr="00C43004" w:rsidRDefault="000A3715" w:rsidP="000A3715">
      <w:pPr>
        <w:pStyle w:val="Heading1"/>
        <w:numPr>
          <w:ilvl w:val="0"/>
          <w:numId w:val="0"/>
        </w:numPr>
        <w:ind w:left="432"/>
        <w:rPr>
          <w:rFonts w:ascii="Arial" w:hAnsi="Arial" w:cs="Arial"/>
          <w:u w:val="single"/>
        </w:rPr>
      </w:pPr>
      <w:r>
        <w:t>REMAINDER OF REPORT IS REDACTED IN ITS ENTIRETY</w:t>
      </w:r>
    </w:p>
    <w:sectPr w:rsidR="003B3C74" w:rsidRPr="00C43004" w:rsidSect="000A3715">
      <w:headerReference w:type="default" r:id="rId21"/>
      <w:footerReference w:type="default" r:id="rId22"/>
      <w:type w:val="continuous"/>
      <w:pgSz w:w="12240" w:h="15840"/>
      <w:pgMar w:top="1440" w:right="1440" w:bottom="1440" w:left="1440" w:header="720" w:footer="720" w:gutter="0"/>
      <w:pgNumType w:start="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2BC" w:rsidRDefault="006D42BC" w:rsidP="00DB35F9">
      <w:pPr>
        <w:spacing w:after="0" w:line="240" w:lineRule="auto"/>
      </w:pPr>
      <w:r>
        <w:separator/>
      </w:r>
    </w:p>
  </w:endnote>
  <w:endnote w:type="continuationSeparator" w:id="0">
    <w:p w:rsidR="006D42BC" w:rsidRDefault="006D42BC" w:rsidP="00DB35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Bold">
    <w:panose1 w:val="020B07040202020202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Book">
    <w:altName w:val="Franklin Gothic Medium"/>
    <w:charset w:val="00"/>
    <w:family w:val="swiss"/>
    <w:pitch w:val="variable"/>
    <w:sig w:usb0="00000001"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E45" w:rsidRDefault="00BE4E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0318"/>
      <w:docPartObj>
        <w:docPartGallery w:val="Page Numbers (Bottom of Page)"/>
        <w:docPartUnique/>
      </w:docPartObj>
    </w:sdtPr>
    <w:sdtContent>
      <w:p w:rsidR="006D42BC" w:rsidRDefault="00095D5F" w:rsidP="00DB35F9">
        <w:pPr>
          <w:pStyle w:val="Footer"/>
          <w:jc w:val="right"/>
        </w:pPr>
      </w:p>
    </w:sdtContent>
  </w:sdt>
  <w:p w:rsidR="006D42BC" w:rsidRDefault="006D42B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BC" w:rsidRPr="00321715" w:rsidRDefault="006D42BC" w:rsidP="00B50663">
    <w:pPr>
      <w:pStyle w:val="Footer"/>
      <w:jc w:val="right"/>
      <w:rPr>
        <w:sz w:val="20"/>
        <w:szCs w:val="20"/>
      </w:rPr>
    </w:pPr>
  </w:p>
  <w:p w:rsidR="006D42BC" w:rsidRDefault="006D42B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16703"/>
      <w:docPartObj>
        <w:docPartGallery w:val="Page Numbers (Bottom of Page)"/>
        <w:docPartUnique/>
      </w:docPartObj>
    </w:sdtPr>
    <w:sdtContent>
      <w:p w:rsidR="006D42BC" w:rsidRDefault="006D42BC" w:rsidP="00DB35F9">
        <w:pPr>
          <w:pStyle w:val="Footer"/>
          <w:jc w:val="right"/>
        </w:pPr>
        <w:r w:rsidRPr="007715BA">
          <w:rPr>
            <w:noProof/>
            <w:color w:val="808080" w:themeColor="background1" w:themeShade="80"/>
          </w:rPr>
          <w:drawing>
            <wp:anchor distT="0" distB="0" distL="114300" distR="114300" simplePos="0" relativeHeight="251660288" behindDoc="0" locked="0" layoutInCell="1" allowOverlap="1">
              <wp:simplePos x="0" y="0"/>
              <wp:positionH relativeFrom="column">
                <wp:posOffset>-133350</wp:posOffset>
              </wp:positionH>
              <wp:positionV relativeFrom="paragraph">
                <wp:posOffset>-97790</wp:posOffset>
              </wp:positionV>
              <wp:extent cx="2052320" cy="419100"/>
              <wp:effectExtent l="19050" t="0" r="5080" b="0"/>
              <wp:wrapNone/>
              <wp:docPr id="14" name="Picture 3" descr="FSC Logo NEW PURPL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SC Logo NEW PURPLE 2007"/>
                      <pic:cNvPicPr>
                        <a:picLocks noChangeAspect="1" noChangeArrowheads="1"/>
                      </pic:cNvPicPr>
                    </pic:nvPicPr>
                    <pic:blipFill>
                      <a:blip r:embed="rId1"/>
                      <a:srcRect/>
                      <a:stretch>
                        <a:fillRect/>
                      </a:stretch>
                    </pic:blipFill>
                    <pic:spPr bwMode="auto">
                      <a:xfrm>
                        <a:off x="0" y="0"/>
                        <a:ext cx="2052320" cy="419100"/>
                      </a:xfrm>
                      <a:prstGeom prst="rect">
                        <a:avLst/>
                      </a:prstGeom>
                      <a:noFill/>
                    </pic:spPr>
                  </pic:pic>
                </a:graphicData>
              </a:graphic>
            </wp:anchor>
          </w:drawing>
        </w:r>
        <w:r w:rsidR="00095D5F" w:rsidRPr="007715BA">
          <w:rPr>
            <w:color w:val="808080" w:themeColor="background1" w:themeShade="80"/>
          </w:rPr>
          <w:fldChar w:fldCharType="begin"/>
        </w:r>
        <w:r w:rsidRPr="007715BA">
          <w:rPr>
            <w:color w:val="808080" w:themeColor="background1" w:themeShade="80"/>
          </w:rPr>
          <w:instrText xml:space="preserve"> PAGE   \* MERGEFORMAT </w:instrText>
        </w:r>
        <w:r w:rsidR="00095D5F" w:rsidRPr="007715BA">
          <w:rPr>
            <w:color w:val="808080" w:themeColor="background1" w:themeShade="80"/>
          </w:rPr>
          <w:fldChar w:fldCharType="separate"/>
        </w:r>
        <w:r w:rsidR="00BE4E45">
          <w:rPr>
            <w:noProof/>
            <w:color w:val="808080" w:themeColor="background1" w:themeShade="80"/>
          </w:rPr>
          <w:t>i</w:t>
        </w:r>
        <w:r w:rsidR="00095D5F" w:rsidRPr="007715BA">
          <w:rPr>
            <w:color w:val="808080" w:themeColor="background1" w:themeShade="80"/>
          </w:rPr>
          <w:fldChar w:fldCharType="end"/>
        </w:r>
      </w:p>
    </w:sdtContent>
  </w:sdt>
  <w:p w:rsidR="006D42BC" w:rsidRDefault="006D42BC">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BC" w:rsidRPr="00321715" w:rsidRDefault="00095D5F" w:rsidP="00B50663">
    <w:pPr>
      <w:pStyle w:val="Footer"/>
      <w:jc w:val="right"/>
      <w:rPr>
        <w:sz w:val="20"/>
        <w:szCs w:val="20"/>
      </w:rPr>
    </w:pPr>
    <w:r w:rsidRPr="009D111C">
      <w:rPr>
        <w:rStyle w:val="PageNumber"/>
        <w:sz w:val="20"/>
        <w:szCs w:val="20"/>
      </w:rPr>
      <w:fldChar w:fldCharType="begin"/>
    </w:r>
    <w:r w:rsidR="006D42BC" w:rsidRPr="009D111C">
      <w:rPr>
        <w:rStyle w:val="PageNumber"/>
        <w:sz w:val="20"/>
        <w:szCs w:val="20"/>
      </w:rPr>
      <w:instrText xml:space="preserve">PAGE  </w:instrText>
    </w:r>
    <w:r w:rsidRPr="009D111C">
      <w:rPr>
        <w:rStyle w:val="PageNumber"/>
        <w:sz w:val="20"/>
        <w:szCs w:val="20"/>
      </w:rPr>
      <w:fldChar w:fldCharType="separate"/>
    </w:r>
    <w:r w:rsidR="006D42BC">
      <w:rPr>
        <w:rStyle w:val="PageNumber"/>
        <w:noProof/>
        <w:sz w:val="20"/>
        <w:szCs w:val="20"/>
      </w:rPr>
      <w:t>58</w:t>
    </w:r>
    <w:r w:rsidRPr="009D111C">
      <w:rPr>
        <w:rStyle w:val="PageNumber"/>
        <w:sz w:val="20"/>
        <w:szCs w:val="20"/>
      </w:rPr>
      <w:fldChar w:fldCharType="end"/>
    </w:r>
  </w:p>
  <w:p w:rsidR="006D42BC" w:rsidRDefault="006D42BC">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Arial"/>
      </w:rPr>
      <w:id w:val="268035079"/>
      <w:docPartObj>
        <w:docPartGallery w:val="Page Numbers (Bottom of Page)"/>
        <w:docPartUnique/>
      </w:docPartObj>
    </w:sdtPr>
    <w:sdtContent>
      <w:p w:rsidR="006D42BC" w:rsidRPr="005E7C49" w:rsidRDefault="006D42BC">
        <w:pPr>
          <w:pStyle w:val="Footer"/>
          <w:jc w:val="center"/>
          <w:rPr>
            <w:rFonts w:cs="Arial"/>
          </w:rPr>
        </w:pPr>
        <w:r>
          <w:rPr>
            <w:rFonts w:cs="Arial"/>
          </w:rPr>
          <w:t xml:space="preserve">Page </w:t>
        </w:r>
        <w:r w:rsidR="00095D5F" w:rsidRPr="005E7C49">
          <w:rPr>
            <w:rFonts w:cs="Arial"/>
          </w:rPr>
          <w:fldChar w:fldCharType="begin"/>
        </w:r>
        <w:r w:rsidRPr="005E7C49">
          <w:rPr>
            <w:rFonts w:cs="Arial"/>
          </w:rPr>
          <w:instrText xml:space="preserve"> PAGE   \* MERGEFORMAT </w:instrText>
        </w:r>
        <w:r w:rsidR="00095D5F" w:rsidRPr="005E7C49">
          <w:rPr>
            <w:rFonts w:cs="Arial"/>
          </w:rPr>
          <w:fldChar w:fldCharType="separate"/>
        </w:r>
        <w:r w:rsidR="00BE4E45">
          <w:rPr>
            <w:rFonts w:cs="Arial"/>
            <w:noProof/>
          </w:rPr>
          <w:t>9</w:t>
        </w:r>
        <w:r w:rsidR="00095D5F" w:rsidRPr="005E7C49">
          <w:rPr>
            <w:rFonts w:cs="Arial"/>
          </w:rPr>
          <w:fldChar w:fldCharType="end"/>
        </w:r>
      </w:p>
    </w:sdtContent>
  </w:sdt>
  <w:p w:rsidR="006D42BC" w:rsidRPr="00787C5C" w:rsidRDefault="006D42BC">
    <w:pPr>
      <w:pStyle w:val="Footer"/>
      <w:rPr>
        <w:rFonts w:asciiTheme="minorHAnsi" w:hAnsiTheme="minorHAn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2BC" w:rsidRDefault="006D42BC" w:rsidP="00DB35F9">
      <w:pPr>
        <w:spacing w:after="0" w:line="240" w:lineRule="auto"/>
      </w:pPr>
      <w:r>
        <w:separator/>
      </w:r>
    </w:p>
  </w:footnote>
  <w:footnote w:type="continuationSeparator" w:id="0">
    <w:p w:rsidR="006D42BC" w:rsidRDefault="006D42BC" w:rsidP="00DB35F9">
      <w:pPr>
        <w:spacing w:after="0" w:line="240" w:lineRule="auto"/>
      </w:pPr>
      <w:r>
        <w:continuationSeparator/>
      </w:r>
    </w:p>
  </w:footnote>
  <w:footnote w:id="1">
    <w:p w:rsidR="006D42BC" w:rsidRDefault="006D42BC" w:rsidP="0075382D">
      <w:pPr>
        <w:pStyle w:val="Footnote"/>
      </w:pPr>
      <w:r>
        <w:rPr>
          <w:rStyle w:val="FootnoteReference"/>
        </w:rPr>
        <w:footnoteRef/>
      </w:r>
      <w:r>
        <w:t xml:space="preserve"> </w:t>
      </w:r>
      <w:r w:rsidRPr="00E64A75">
        <w:rPr>
          <w:lang w:val="fi-FI"/>
        </w:rPr>
        <w:t>Sullivan, M.J.</w:t>
      </w:r>
      <w:r>
        <w:rPr>
          <w:lang w:val="fi-FI"/>
        </w:rPr>
        <w:t>,</w:t>
      </w:r>
      <w:r w:rsidRPr="00E64A75">
        <w:rPr>
          <w:lang w:val="fi-FI"/>
        </w:rPr>
        <w:t xml:space="preserve"> and D. Keane (1995). </w:t>
      </w:r>
      <w:r>
        <w:rPr>
          <w:i/>
        </w:rPr>
        <w:t>Outage</w:t>
      </w:r>
      <w:r w:rsidRPr="00E64A75">
        <w:rPr>
          <w:i/>
        </w:rPr>
        <w:t xml:space="preserve"> Cost Estimation Guidebook</w:t>
      </w:r>
      <w:r w:rsidRPr="00E64A75">
        <w:t xml:space="preserve">. </w:t>
      </w:r>
      <w:r w:rsidRPr="00E64A75">
        <w:rPr>
          <w:lang w:val="pt-BR"/>
        </w:rPr>
        <w:t>Report no. TR-106082. Palo Alto, CA: EPRI.</w:t>
      </w:r>
    </w:p>
  </w:footnote>
  <w:footnote w:id="2">
    <w:p w:rsidR="006D42BC" w:rsidRDefault="006D42BC" w:rsidP="00F142A4">
      <w:pPr>
        <w:pStyle w:val="Footnote"/>
      </w:pPr>
      <w:r>
        <w:rPr>
          <w:rStyle w:val="FootnoteReference"/>
        </w:rPr>
        <w:footnoteRef/>
      </w:r>
      <w:r>
        <w:t xml:space="preserve"> </w:t>
      </w:r>
      <w:proofErr w:type="gramStart"/>
      <w:r w:rsidRPr="00957905">
        <w:t xml:space="preserve">Sullivan, M.J., M. </w:t>
      </w:r>
      <w:proofErr w:type="spellStart"/>
      <w:r w:rsidRPr="00957905">
        <w:t>Mercurio</w:t>
      </w:r>
      <w:proofErr w:type="spellEnd"/>
      <w:r w:rsidRPr="00957905">
        <w:t xml:space="preserve">, and J. </w:t>
      </w:r>
      <w:proofErr w:type="spellStart"/>
      <w:r w:rsidRPr="00957905">
        <w:t>Schellenberg</w:t>
      </w:r>
      <w:proofErr w:type="spellEnd"/>
      <w:r w:rsidRPr="00957905">
        <w:t xml:space="preserve"> (2009).</w:t>
      </w:r>
      <w:proofErr w:type="gramEnd"/>
      <w:r w:rsidRPr="00957905">
        <w:t xml:space="preserve"> </w:t>
      </w:r>
      <w:proofErr w:type="gramStart"/>
      <w:r w:rsidRPr="00957905">
        <w:rPr>
          <w:i/>
        </w:rPr>
        <w:t>Estimated Value of Service Reliability for Electric Utility Customers in the United States</w:t>
      </w:r>
      <w:r w:rsidRPr="00957905">
        <w:t>.</w:t>
      </w:r>
      <w:proofErr w:type="gramEnd"/>
      <w:r w:rsidRPr="00957905">
        <w:t xml:space="preserve"> </w:t>
      </w:r>
      <w:proofErr w:type="gramStart"/>
      <w:r>
        <w:t>Lawrence Berkeley National Laboratory Report No.</w:t>
      </w:r>
      <w:proofErr w:type="gramEnd"/>
      <w:r w:rsidRPr="00957905">
        <w:t xml:space="preserve"> </w:t>
      </w:r>
      <w:proofErr w:type="gramStart"/>
      <w:r w:rsidRPr="00957905">
        <w:t>LBNL-2132E.</w:t>
      </w:r>
      <w:proofErr w:type="gramEnd"/>
    </w:p>
  </w:footnote>
  <w:footnote w:id="3">
    <w:p w:rsidR="006D42BC" w:rsidRPr="006A343F" w:rsidRDefault="006D42BC" w:rsidP="006A343F">
      <w:pPr>
        <w:pStyle w:val="Footnote"/>
      </w:pPr>
      <w:r>
        <w:rPr>
          <w:rStyle w:val="FootnoteReference"/>
        </w:rPr>
        <w:footnoteRef/>
      </w:r>
      <w:r>
        <w:t xml:space="preserve"> For a concise summary of this approach, see: </w:t>
      </w:r>
      <w:r w:rsidRPr="006A343F">
        <w:t>Carden</w:t>
      </w:r>
      <w:r>
        <w:t>, K.</w:t>
      </w:r>
      <w:r w:rsidRPr="006A343F">
        <w:t>, J</w:t>
      </w:r>
      <w:r>
        <w:t>.</w:t>
      </w:r>
      <w:r w:rsidRPr="006A343F">
        <w:t xml:space="preserve"> </w:t>
      </w:r>
      <w:proofErr w:type="spellStart"/>
      <w:r w:rsidRPr="006A343F">
        <w:t>Pfeifenberger</w:t>
      </w:r>
      <w:proofErr w:type="spellEnd"/>
      <w:r w:rsidRPr="006A343F">
        <w:t xml:space="preserve">, </w:t>
      </w:r>
      <w:r>
        <w:t>a</w:t>
      </w:r>
      <w:r w:rsidRPr="006A343F">
        <w:t>nd N</w:t>
      </w:r>
      <w:r>
        <w:t>.</w:t>
      </w:r>
      <w:r w:rsidRPr="006A343F">
        <w:t xml:space="preserve"> Wintermantel</w:t>
      </w:r>
      <w:r>
        <w:t xml:space="preserve"> (2011). </w:t>
      </w:r>
      <w:proofErr w:type="gramStart"/>
      <w:r>
        <w:rPr>
          <w:i/>
        </w:rPr>
        <w:t>The Value of Resource Adequacy.</w:t>
      </w:r>
      <w:proofErr w:type="gramEnd"/>
      <w:r>
        <w:t xml:space="preserve">  Public Utilities Fortnightly, March 2011: 35-40.</w:t>
      </w:r>
    </w:p>
  </w:footnote>
  <w:footnote w:id="4">
    <w:p w:rsidR="006D42BC" w:rsidRDefault="006D42BC" w:rsidP="00AB0340">
      <w:pPr>
        <w:pStyle w:val="Footnote"/>
      </w:pPr>
      <w:r>
        <w:rPr>
          <w:rStyle w:val="FootnoteReference"/>
        </w:rPr>
        <w:footnoteRef/>
      </w:r>
      <w:r>
        <w:t xml:space="preserve"> For an early paper on value-based reliability planning, see: </w:t>
      </w:r>
      <w:proofErr w:type="spellStart"/>
      <w:r>
        <w:t>Munasinghe</w:t>
      </w:r>
      <w:proofErr w:type="spellEnd"/>
      <w:r>
        <w:t xml:space="preserve">, M. (1981). </w:t>
      </w:r>
      <w:proofErr w:type="gramStart"/>
      <w:r>
        <w:t>"Optimal Electricity Supply, Reliability, Pricing and System Planning."</w:t>
      </w:r>
      <w:proofErr w:type="gramEnd"/>
      <w:r>
        <w:t xml:space="preserve">  Energy Economics, 3: 140-152.</w:t>
      </w:r>
    </w:p>
  </w:footnote>
  <w:footnote w:id="5">
    <w:p w:rsidR="006D42BC" w:rsidRDefault="006D42BC" w:rsidP="00E73B45">
      <w:pPr>
        <w:pStyle w:val="Footnote"/>
      </w:pPr>
      <w:r>
        <w:rPr>
          <w:rStyle w:val="FootnoteReference"/>
        </w:rPr>
        <w:footnoteRef/>
      </w:r>
      <w:r>
        <w:t xml:space="preserve"> </w:t>
      </w:r>
      <w:r w:rsidRPr="00E64A75">
        <w:rPr>
          <w:lang w:val="fi-FI"/>
        </w:rPr>
        <w:t>Sullivan, M.J.</w:t>
      </w:r>
      <w:r>
        <w:rPr>
          <w:lang w:val="fi-FI"/>
        </w:rPr>
        <w:t>,</w:t>
      </w:r>
      <w:r w:rsidRPr="00E64A75">
        <w:rPr>
          <w:lang w:val="fi-FI"/>
        </w:rPr>
        <w:t xml:space="preserve"> and D. Keane (1995). </w:t>
      </w:r>
      <w:r>
        <w:rPr>
          <w:lang w:val="fi-FI"/>
        </w:rPr>
        <w:t xml:space="preserve"> </w:t>
      </w:r>
      <w:r>
        <w:rPr>
          <w:i/>
        </w:rPr>
        <w:t>Outage</w:t>
      </w:r>
      <w:r w:rsidRPr="00E64A75">
        <w:rPr>
          <w:i/>
        </w:rPr>
        <w:t xml:space="preserve"> Cost Estimation Guidebook</w:t>
      </w:r>
      <w:r w:rsidRPr="00E64A75">
        <w:t xml:space="preserve">. </w:t>
      </w:r>
      <w:r>
        <w:t xml:space="preserve"> </w:t>
      </w:r>
      <w:r w:rsidRPr="00E64A75">
        <w:rPr>
          <w:lang w:val="pt-BR"/>
        </w:rPr>
        <w:t xml:space="preserve">Report no. TR-106082. </w:t>
      </w:r>
      <w:r>
        <w:rPr>
          <w:lang w:val="pt-BR"/>
        </w:rPr>
        <w:t xml:space="preserve"> </w:t>
      </w:r>
      <w:r w:rsidRPr="00E64A75">
        <w:rPr>
          <w:lang w:val="pt-BR"/>
        </w:rPr>
        <w:t>Palo Alto, CA: EPRI.</w:t>
      </w:r>
    </w:p>
  </w:footnote>
  <w:footnote w:id="6">
    <w:p w:rsidR="006D42BC" w:rsidRDefault="006D42BC" w:rsidP="00E73B45">
      <w:pPr>
        <w:pStyle w:val="Footnote"/>
      </w:pPr>
      <w:r>
        <w:rPr>
          <w:rStyle w:val="FootnoteReference"/>
        </w:rPr>
        <w:footnoteRef/>
      </w:r>
      <w:r>
        <w:t xml:space="preserve"> </w:t>
      </w:r>
      <w:proofErr w:type="gramStart"/>
      <w:r w:rsidRPr="00957905">
        <w:t xml:space="preserve">Sullivan, M.J., M. </w:t>
      </w:r>
      <w:proofErr w:type="spellStart"/>
      <w:r w:rsidRPr="00957905">
        <w:t>Mercurio</w:t>
      </w:r>
      <w:proofErr w:type="spellEnd"/>
      <w:r w:rsidRPr="00957905">
        <w:t xml:space="preserve">, and J. </w:t>
      </w:r>
      <w:proofErr w:type="spellStart"/>
      <w:r w:rsidRPr="00957905">
        <w:t>Schellenberg</w:t>
      </w:r>
      <w:proofErr w:type="spellEnd"/>
      <w:r w:rsidRPr="00957905">
        <w:t xml:space="preserve"> (2009).</w:t>
      </w:r>
      <w:proofErr w:type="gramEnd"/>
      <w:r w:rsidRPr="00957905">
        <w:t xml:space="preserve"> </w:t>
      </w:r>
      <w:r>
        <w:t xml:space="preserve"> </w:t>
      </w:r>
      <w:proofErr w:type="gramStart"/>
      <w:r w:rsidRPr="00957905">
        <w:rPr>
          <w:i/>
        </w:rPr>
        <w:t>Estimated Value of Service Reliability for Electric Utility Customers in the United States</w:t>
      </w:r>
      <w:r w:rsidRPr="00957905">
        <w:t>.</w:t>
      </w:r>
      <w:proofErr w:type="gramEnd"/>
      <w:r w:rsidRPr="00957905">
        <w:t xml:space="preserve"> </w:t>
      </w:r>
      <w:r>
        <w:t xml:space="preserve"> </w:t>
      </w:r>
      <w:proofErr w:type="gramStart"/>
      <w:r>
        <w:t>Lawrence Berkeley National Laboratory Report No.</w:t>
      </w:r>
      <w:proofErr w:type="gramEnd"/>
      <w:r w:rsidRPr="00957905">
        <w:t xml:space="preserve"> </w:t>
      </w:r>
      <w:proofErr w:type="gramStart"/>
      <w:r w:rsidRPr="00957905">
        <w:t>LBNL-2132E.</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E45" w:rsidRDefault="00BE4E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BC" w:rsidRDefault="006D42BC" w:rsidP="00DB35F9">
    <w:pPr>
      <w:pStyle w:val="Header"/>
      <w:tabs>
        <w:tab w:val="left" w:pos="360"/>
        <w:tab w:val="left" w:pos="8910"/>
        <w:tab w:val="left" w:pos="9000"/>
      </w:tabs>
    </w:pPr>
    <w:r w:rsidRPr="00EB2941">
      <w:rPr>
        <w:noProof/>
      </w:rPr>
      <w:drawing>
        <wp:inline distT="0" distB="0" distL="0" distR="0">
          <wp:extent cx="4274185" cy="690880"/>
          <wp:effectExtent l="19050" t="0" r="0" b="0"/>
          <wp:docPr id="4" name="Picture 1" descr="FSC Logo NEW PURPL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C Logo NEW PURPLE 2007"/>
                  <pic:cNvPicPr>
                    <a:picLocks noChangeAspect="1" noChangeArrowheads="1"/>
                  </pic:cNvPicPr>
                </pic:nvPicPr>
                <pic:blipFill>
                  <a:blip r:embed="rId1" cstate="print"/>
                  <a:srcRect t="21506"/>
                  <a:stretch>
                    <a:fillRect/>
                  </a:stretch>
                </pic:blipFill>
                <pic:spPr bwMode="auto">
                  <a:xfrm>
                    <a:off x="0" y="0"/>
                    <a:ext cx="4274185" cy="690880"/>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BC" w:rsidRDefault="006D42BC">
    <w:pPr>
      <w:pStyle w:val="Header"/>
    </w:pPr>
    <w:r w:rsidRPr="007A2A2A">
      <w:rPr>
        <w:noProof/>
      </w:rPr>
      <w:drawing>
        <wp:anchor distT="0" distB="0" distL="114300" distR="114300" simplePos="0" relativeHeight="251663360" behindDoc="0" locked="0" layoutInCell="1" allowOverlap="1">
          <wp:simplePos x="0" y="0"/>
          <wp:positionH relativeFrom="column">
            <wp:posOffset>-733806</wp:posOffset>
          </wp:positionH>
          <wp:positionV relativeFrom="paragraph">
            <wp:posOffset>-67056</wp:posOffset>
          </wp:positionV>
          <wp:extent cx="4272534" cy="694944"/>
          <wp:effectExtent l="19050" t="0" r="0" b="0"/>
          <wp:wrapNone/>
          <wp:docPr id="6" name="Picture 1" descr="FSC Logo NEW PURPL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C Logo NEW PURPLE 2007"/>
                  <pic:cNvPicPr>
                    <a:picLocks noChangeAspect="1" noChangeArrowheads="1"/>
                  </pic:cNvPicPr>
                </pic:nvPicPr>
                <pic:blipFill>
                  <a:blip r:embed="rId1" cstate="print"/>
                  <a:srcRect t="21506"/>
                  <a:stretch>
                    <a:fillRect/>
                  </a:stretch>
                </pic:blipFill>
                <pic:spPr bwMode="auto">
                  <a:xfrm>
                    <a:off x="0" y="0"/>
                    <a:ext cx="4267835" cy="688340"/>
                  </a:xfrm>
                  <a:prstGeom prst="rect">
                    <a:avLst/>
                  </a:prstGeom>
                  <a:noFill/>
                  <a:ln w="9525">
                    <a:noFill/>
                    <a:miter lim="800000"/>
                    <a:headEnd/>
                    <a:tailEnd/>
                  </a:ln>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BC" w:rsidRPr="006A335F" w:rsidRDefault="006D42BC" w:rsidP="00494169">
    <w:pPr>
      <w:pStyle w:val="Header"/>
      <w:jc w:val="right"/>
      <w:rPr>
        <w:b/>
      </w:rPr>
    </w:pPr>
    <w:r w:rsidRPr="006A335F">
      <w:rPr>
        <w:b/>
      </w:rPr>
      <w:t>PUBLIC DISCLOSURE</w:t>
    </w:r>
  </w:p>
  <w:p w:rsidR="006D42BC" w:rsidRDefault="006D42BC" w:rsidP="00DB35F9">
    <w:pPr>
      <w:pStyle w:val="Header"/>
      <w:tabs>
        <w:tab w:val="left" w:pos="360"/>
        <w:tab w:val="left" w:pos="8910"/>
        <w:tab w:val="left" w:pos="9000"/>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BC" w:rsidRDefault="006D42BC" w:rsidP="00B50663">
    <w:pPr>
      <w:pStyle w:val="Header"/>
      <w:jc w:val="center"/>
    </w:pPr>
    <w:r w:rsidRPr="00E92F4E">
      <w:rPr>
        <w:noProof/>
      </w:rPr>
      <w:drawing>
        <wp:inline distT="0" distB="0" distL="0" distR="0">
          <wp:extent cx="2243455" cy="999490"/>
          <wp:effectExtent l="19050" t="0" r="4445"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243455" cy="999490"/>
                  </a:xfrm>
                  <a:prstGeom prst="rect">
                    <a:avLst/>
                  </a:prstGeom>
                  <a:noFill/>
                  <a:ln w="9525">
                    <a:noFill/>
                    <a:miter lim="800000"/>
                    <a:headEnd/>
                    <a:tailEnd/>
                  </a:ln>
                </pic:spPr>
              </pic:pic>
            </a:graphicData>
          </a:graphic>
        </wp:inline>
      </w:drawing>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BC" w:rsidRPr="000A3715" w:rsidRDefault="000A3715" w:rsidP="00494169">
    <w:pPr>
      <w:pStyle w:val="Header"/>
      <w:jc w:val="right"/>
      <w:rPr>
        <w:b/>
      </w:rPr>
    </w:pPr>
    <w:r w:rsidRPr="000A3715">
      <w:rPr>
        <w:b/>
      </w:rPr>
      <w:t>PUBLIC DISCLOSURE</w:t>
    </w:r>
  </w:p>
  <w:p w:rsidR="006D42BC" w:rsidRPr="00787C5C" w:rsidRDefault="006D42BC" w:rsidP="00787C5C">
    <w:pPr>
      <w:pStyle w:val="Header"/>
      <w:rPr>
        <w:rFonts w:asciiTheme="minorHAnsi" w:hAnsiTheme="minorHAn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
      </v:shape>
    </w:pict>
  </w:numPicBullet>
  <w:abstractNum w:abstractNumId="0">
    <w:nsid w:val="00B719CE"/>
    <w:multiLevelType w:val="hybridMultilevel"/>
    <w:tmpl w:val="D1D8F5F0"/>
    <w:lvl w:ilvl="0" w:tplc="37D6956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62F5674"/>
    <w:multiLevelType w:val="hybridMultilevel"/>
    <w:tmpl w:val="652A9A1E"/>
    <w:lvl w:ilvl="0" w:tplc="F5241B0E">
      <w:start w:val="6"/>
      <w:numFmt w:val="decimal"/>
      <w:pStyle w:val="NumbersLa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A593E"/>
    <w:multiLevelType w:val="hybridMultilevel"/>
    <w:tmpl w:val="BF0CB3C6"/>
    <w:lvl w:ilvl="0" w:tplc="4A6091AE">
      <w:start w:val="1"/>
      <w:numFmt w:val="bullet"/>
      <w:pStyle w:val="Bullets"/>
      <w:lvlText w:val=""/>
      <w:lvlJc w:val="left"/>
      <w:pPr>
        <w:tabs>
          <w:tab w:val="num" w:pos="720"/>
        </w:tabs>
        <w:ind w:left="720" w:hanging="360"/>
      </w:pPr>
      <w:rPr>
        <w:rFonts w:ascii="Wingdings" w:hAnsi="Wingdings" w:hint="default"/>
        <w:color w:val="433B67"/>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7561E2"/>
    <w:multiLevelType w:val="hybridMultilevel"/>
    <w:tmpl w:val="6F6C1304"/>
    <w:lvl w:ilvl="0" w:tplc="FB1E35EA">
      <w:start w:val="1"/>
      <w:numFmt w:val="decimal"/>
      <w:pStyle w:val="Numb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382780"/>
    <w:multiLevelType w:val="hybridMultilevel"/>
    <w:tmpl w:val="0A4EB5D2"/>
    <w:lvl w:ilvl="0" w:tplc="6994EE0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0BC6674A"/>
    <w:multiLevelType w:val="hybridMultilevel"/>
    <w:tmpl w:val="6472D44C"/>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9538B7"/>
    <w:multiLevelType w:val="hybridMultilevel"/>
    <w:tmpl w:val="42F89540"/>
    <w:lvl w:ilvl="0" w:tplc="E9422FBA">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7D690E"/>
    <w:multiLevelType w:val="hybridMultilevel"/>
    <w:tmpl w:val="3494913C"/>
    <w:lvl w:ilvl="0" w:tplc="E008434C">
      <w:start w:val="1"/>
      <w:numFmt w:val="decimal"/>
      <w:lvlText w:val="A%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252EA"/>
    <w:multiLevelType w:val="hybridMultilevel"/>
    <w:tmpl w:val="8BBC4FD8"/>
    <w:lvl w:ilvl="0" w:tplc="9126002A">
      <w:start w:val="1"/>
      <w:numFmt w:val="decimal"/>
      <w:lvlText w:val="H%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6079DE"/>
    <w:multiLevelType w:val="hybridMultilevel"/>
    <w:tmpl w:val="15DCFD62"/>
    <w:lvl w:ilvl="0" w:tplc="A4F4D3A0">
      <w:start w:val="1"/>
      <w:numFmt w:val="decimal"/>
      <w:lvlText w:val="G%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BC178A9"/>
    <w:multiLevelType w:val="multilevel"/>
    <w:tmpl w:val="02B065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DBA16AC"/>
    <w:multiLevelType w:val="multilevel"/>
    <w:tmpl w:val="63A8A87C"/>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1A15F16"/>
    <w:multiLevelType w:val="hybridMultilevel"/>
    <w:tmpl w:val="A0D8E7B2"/>
    <w:lvl w:ilvl="0" w:tplc="7C5C3B88">
      <w:start w:val="1"/>
      <w:numFmt w:val="decimal"/>
      <w:lvlText w:val="G%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0E263D"/>
    <w:multiLevelType w:val="multilevel"/>
    <w:tmpl w:val="99BC58B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27466AB5"/>
    <w:multiLevelType w:val="multilevel"/>
    <w:tmpl w:val="6B2CD62E"/>
    <w:styleLink w:val="NumberedSteps"/>
    <w:lvl w:ilvl="0">
      <w:start w:val="1"/>
      <w:numFmt w:val="decimal"/>
      <w:lvlText w:val="%1"/>
      <w:lvlJc w:val="left"/>
      <w:pPr>
        <w:tabs>
          <w:tab w:val="num" w:pos="720"/>
        </w:tabs>
        <w:ind w:left="720" w:hanging="360"/>
      </w:pPr>
      <w:rPr>
        <w:rFonts w:ascii="Arial" w:hAnsi="Arial"/>
        <w:dstrike w:val="0"/>
        <w:color w:val="auto"/>
        <w:sz w:val="22"/>
        <w:vertAlign w:val="baseline"/>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7580CE1"/>
    <w:multiLevelType w:val="hybridMultilevel"/>
    <w:tmpl w:val="15DCFD62"/>
    <w:lvl w:ilvl="0" w:tplc="A4F4D3A0">
      <w:start w:val="1"/>
      <w:numFmt w:val="decimal"/>
      <w:lvlText w:val="G%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E5E7867"/>
    <w:multiLevelType w:val="hybridMultilevel"/>
    <w:tmpl w:val="99F002C6"/>
    <w:lvl w:ilvl="0" w:tplc="63E48A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315979"/>
    <w:multiLevelType w:val="hybridMultilevel"/>
    <w:tmpl w:val="FA063CD0"/>
    <w:lvl w:ilvl="0" w:tplc="D95059A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392A3EF6"/>
    <w:multiLevelType w:val="hybridMultilevel"/>
    <w:tmpl w:val="3C527C48"/>
    <w:lvl w:ilvl="0" w:tplc="63E48AA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FA451F"/>
    <w:multiLevelType w:val="hybridMultilevel"/>
    <w:tmpl w:val="15B4EB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7E0E27"/>
    <w:multiLevelType w:val="hybridMultilevel"/>
    <w:tmpl w:val="8BBC4FD8"/>
    <w:lvl w:ilvl="0" w:tplc="9126002A">
      <w:start w:val="1"/>
      <w:numFmt w:val="decimal"/>
      <w:lvlText w:val="H%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543B47"/>
    <w:multiLevelType w:val="hybridMultilevel"/>
    <w:tmpl w:val="0D085282"/>
    <w:lvl w:ilvl="0" w:tplc="F14CA780">
      <w:start w:val="12"/>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FB41F38"/>
    <w:multiLevelType w:val="hybridMultilevel"/>
    <w:tmpl w:val="C054EFD4"/>
    <w:lvl w:ilvl="0" w:tplc="C018CC36">
      <w:start w:val="1"/>
      <w:numFmt w:val="decimal"/>
      <w:lvlText w:val="C%1."/>
      <w:lvlJc w:val="left"/>
      <w:pPr>
        <w:tabs>
          <w:tab w:val="num" w:pos="360"/>
        </w:tabs>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EB535B"/>
    <w:multiLevelType w:val="hybridMultilevel"/>
    <w:tmpl w:val="3E5236C2"/>
    <w:lvl w:ilvl="0" w:tplc="8E0CF75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nsid w:val="4A001F14"/>
    <w:multiLevelType w:val="hybridMultilevel"/>
    <w:tmpl w:val="3F448FCC"/>
    <w:lvl w:ilvl="0" w:tplc="0F8E2544">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BBB0C0A"/>
    <w:multiLevelType w:val="hybridMultilevel"/>
    <w:tmpl w:val="3494913C"/>
    <w:lvl w:ilvl="0" w:tplc="E008434C">
      <w:start w:val="1"/>
      <w:numFmt w:val="decimal"/>
      <w:lvlText w:val="A%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8810FC"/>
    <w:multiLevelType w:val="hybridMultilevel"/>
    <w:tmpl w:val="5C604896"/>
    <w:lvl w:ilvl="0" w:tplc="A3EAB200">
      <w:start w:val="1"/>
      <w:numFmt w:val="decimal"/>
      <w:lvlText w:val="D%1."/>
      <w:lvlJc w:val="left"/>
      <w:pPr>
        <w:tabs>
          <w:tab w:val="num" w:pos="360"/>
        </w:tabs>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DE78E5"/>
    <w:multiLevelType w:val="hybridMultilevel"/>
    <w:tmpl w:val="9050B552"/>
    <w:lvl w:ilvl="0" w:tplc="B5FE5C8A">
      <w:start w:val="1"/>
      <w:numFmt w:val="decimal"/>
      <w:lvlText w:val="C%1."/>
      <w:lvlJc w:val="left"/>
      <w:pPr>
        <w:tabs>
          <w:tab w:val="num" w:pos="360"/>
        </w:tabs>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13520"/>
    <w:multiLevelType w:val="hybridMultilevel"/>
    <w:tmpl w:val="C3A2C542"/>
    <w:lvl w:ilvl="0" w:tplc="9B2C5D4C">
      <w:start w:val="1"/>
      <w:numFmt w:val="decimal"/>
      <w:lvlText w:val="D%1."/>
      <w:lvlJc w:val="left"/>
      <w:pPr>
        <w:tabs>
          <w:tab w:val="num" w:pos="360"/>
        </w:tabs>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1F7AEA"/>
    <w:multiLevelType w:val="hybridMultilevel"/>
    <w:tmpl w:val="75F6E3D0"/>
    <w:lvl w:ilvl="0" w:tplc="D726730A">
      <w:start w:val="1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2C739C"/>
    <w:multiLevelType w:val="hybridMultilevel"/>
    <w:tmpl w:val="060687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684565A"/>
    <w:multiLevelType w:val="hybridMultilevel"/>
    <w:tmpl w:val="1F34968E"/>
    <w:lvl w:ilvl="0" w:tplc="8E0CF75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nsid w:val="575653B7"/>
    <w:multiLevelType w:val="hybridMultilevel"/>
    <w:tmpl w:val="EFB6A64A"/>
    <w:lvl w:ilvl="0" w:tplc="8E0CF75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nsid w:val="5AAC3F80"/>
    <w:multiLevelType w:val="hybridMultilevel"/>
    <w:tmpl w:val="EFB6A64A"/>
    <w:lvl w:ilvl="0" w:tplc="8E0CF75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nsid w:val="5CA610CF"/>
    <w:multiLevelType w:val="hybridMultilevel"/>
    <w:tmpl w:val="1F7649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E675C9E"/>
    <w:multiLevelType w:val="hybridMultilevel"/>
    <w:tmpl w:val="FFA63BC8"/>
    <w:lvl w:ilvl="0" w:tplc="BA4A6060">
      <w:start w:val="1"/>
      <w:numFmt w:val="bullet"/>
      <w:lvlText w:val=""/>
      <w:lvlPicBulletId w:val="0"/>
      <w:lvlJc w:val="left"/>
      <w:pPr>
        <w:tabs>
          <w:tab w:val="num" w:pos="1800"/>
        </w:tabs>
        <w:ind w:left="936" w:hanging="518"/>
      </w:pPr>
      <w:rPr>
        <w:rFonts w:ascii="Symbol" w:hAnsi="Symbol" w:hint="default"/>
        <w:sz w:val="22"/>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0392F0A"/>
    <w:multiLevelType w:val="hybridMultilevel"/>
    <w:tmpl w:val="3E5236C2"/>
    <w:lvl w:ilvl="0" w:tplc="8E0CF75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nsid w:val="63EF1A1A"/>
    <w:multiLevelType w:val="hybridMultilevel"/>
    <w:tmpl w:val="0AD4BB06"/>
    <w:lvl w:ilvl="0" w:tplc="7086326C">
      <w:start w:val="1"/>
      <w:numFmt w:val="bullet"/>
      <w:lvlText w:val=""/>
      <w:lvlPicBulletId w:val="0"/>
      <w:lvlJc w:val="left"/>
      <w:pPr>
        <w:tabs>
          <w:tab w:val="num" w:pos="1080"/>
        </w:tabs>
        <w:ind w:left="1080" w:hanging="360"/>
      </w:pPr>
      <w:rPr>
        <w:rFonts w:ascii="Symbol" w:hAnsi="Symbol" w:hint="default"/>
      </w:rPr>
    </w:lvl>
    <w:lvl w:ilvl="1" w:tplc="A7560082">
      <w:start w:val="1"/>
      <w:numFmt w:val="bullet"/>
      <w:lvlText w:val=""/>
      <w:lvlJc w:val="left"/>
      <w:pPr>
        <w:tabs>
          <w:tab w:val="num" w:pos="1800"/>
        </w:tabs>
        <w:ind w:left="1800" w:hanging="360"/>
      </w:pPr>
      <w:rPr>
        <w:rFonts w:ascii="Symbol" w:hAnsi="Symbol" w:hint="default"/>
      </w:rPr>
    </w:lvl>
    <w:lvl w:ilvl="2" w:tplc="F496B168" w:tentative="1">
      <w:start w:val="1"/>
      <w:numFmt w:val="bullet"/>
      <w:lvlText w:val=""/>
      <w:lvlJc w:val="left"/>
      <w:pPr>
        <w:tabs>
          <w:tab w:val="num" w:pos="2520"/>
        </w:tabs>
        <w:ind w:left="2520" w:hanging="360"/>
      </w:pPr>
      <w:rPr>
        <w:rFonts w:ascii="Symbol" w:hAnsi="Symbol" w:hint="default"/>
      </w:rPr>
    </w:lvl>
    <w:lvl w:ilvl="3" w:tplc="69EAA756" w:tentative="1">
      <w:start w:val="1"/>
      <w:numFmt w:val="bullet"/>
      <w:lvlText w:val=""/>
      <w:lvlJc w:val="left"/>
      <w:pPr>
        <w:tabs>
          <w:tab w:val="num" w:pos="3240"/>
        </w:tabs>
        <w:ind w:left="3240" w:hanging="360"/>
      </w:pPr>
      <w:rPr>
        <w:rFonts w:ascii="Symbol" w:hAnsi="Symbol" w:hint="default"/>
      </w:rPr>
    </w:lvl>
    <w:lvl w:ilvl="4" w:tplc="37F41768" w:tentative="1">
      <w:start w:val="1"/>
      <w:numFmt w:val="bullet"/>
      <w:lvlText w:val=""/>
      <w:lvlJc w:val="left"/>
      <w:pPr>
        <w:tabs>
          <w:tab w:val="num" w:pos="3960"/>
        </w:tabs>
        <w:ind w:left="3960" w:hanging="360"/>
      </w:pPr>
      <w:rPr>
        <w:rFonts w:ascii="Symbol" w:hAnsi="Symbol" w:hint="default"/>
      </w:rPr>
    </w:lvl>
    <w:lvl w:ilvl="5" w:tplc="461C22BC" w:tentative="1">
      <w:start w:val="1"/>
      <w:numFmt w:val="bullet"/>
      <w:lvlText w:val=""/>
      <w:lvlJc w:val="left"/>
      <w:pPr>
        <w:tabs>
          <w:tab w:val="num" w:pos="4680"/>
        </w:tabs>
        <w:ind w:left="4680" w:hanging="360"/>
      </w:pPr>
      <w:rPr>
        <w:rFonts w:ascii="Symbol" w:hAnsi="Symbol" w:hint="default"/>
      </w:rPr>
    </w:lvl>
    <w:lvl w:ilvl="6" w:tplc="FCCCB206" w:tentative="1">
      <w:start w:val="1"/>
      <w:numFmt w:val="bullet"/>
      <w:lvlText w:val=""/>
      <w:lvlJc w:val="left"/>
      <w:pPr>
        <w:tabs>
          <w:tab w:val="num" w:pos="5400"/>
        </w:tabs>
        <w:ind w:left="5400" w:hanging="360"/>
      </w:pPr>
      <w:rPr>
        <w:rFonts w:ascii="Symbol" w:hAnsi="Symbol" w:hint="default"/>
      </w:rPr>
    </w:lvl>
    <w:lvl w:ilvl="7" w:tplc="42CAD072" w:tentative="1">
      <w:start w:val="1"/>
      <w:numFmt w:val="bullet"/>
      <w:lvlText w:val=""/>
      <w:lvlJc w:val="left"/>
      <w:pPr>
        <w:tabs>
          <w:tab w:val="num" w:pos="6120"/>
        </w:tabs>
        <w:ind w:left="6120" w:hanging="360"/>
      </w:pPr>
      <w:rPr>
        <w:rFonts w:ascii="Symbol" w:hAnsi="Symbol" w:hint="default"/>
      </w:rPr>
    </w:lvl>
    <w:lvl w:ilvl="8" w:tplc="4552E4D4" w:tentative="1">
      <w:start w:val="1"/>
      <w:numFmt w:val="bullet"/>
      <w:lvlText w:val=""/>
      <w:lvlJc w:val="left"/>
      <w:pPr>
        <w:tabs>
          <w:tab w:val="num" w:pos="6840"/>
        </w:tabs>
        <w:ind w:left="6840" w:hanging="360"/>
      </w:pPr>
      <w:rPr>
        <w:rFonts w:ascii="Symbol" w:hAnsi="Symbol" w:hint="default"/>
      </w:rPr>
    </w:lvl>
  </w:abstractNum>
  <w:abstractNum w:abstractNumId="38">
    <w:nsid w:val="64497E68"/>
    <w:multiLevelType w:val="multilevel"/>
    <w:tmpl w:val="CFA6A566"/>
    <w:lvl w:ilvl="0">
      <w:start w:val="1"/>
      <w:numFmt w:val="upperLetter"/>
      <w:pStyle w:val="AppendixHeading"/>
      <w:lvlText w:val="Appendix %1."/>
      <w:lvlJc w:val="left"/>
      <w:pPr>
        <w:ind w:left="360" w:hanging="360"/>
      </w:pPr>
      <w:rPr>
        <w:rFonts w:hint="default"/>
        <w:b/>
        <w:bCs w:val="0"/>
        <w:i w:val="0"/>
        <w:iCs w:val="0"/>
        <w:caps w:val="0"/>
        <w:smallCaps w:val="0"/>
        <w:strike w:val="0"/>
        <w:dstrike w:val="0"/>
        <w:outline w:val="0"/>
        <w:shadow w:val="0"/>
        <w:emboss w:val="0"/>
        <w:imprint w:val="0"/>
        <w:noProof w:val="0"/>
        <w:snapToGrid w:val="0"/>
        <w:vanish w:val="0"/>
        <w:color w:val="5F497A" w:themeColor="accent4" w:themeShade="BF"/>
        <w:spacing w:val="0"/>
        <w:w w:val="0"/>
        <w:kern w:val="0"/>
        <w:position w:val="0"/>
        <w:szCs w:val="0"/>
        <w:u w:val="none"/>
        <w:vertAlign w:val="baseline"/>
        <w:em w:val="none"/>
      </w:rPr>
    </w:lvl>
    <w:lvl w:ilvl="1">
      <w:start w:val="1"/>
      <w:numFmt w:val="decimal"/>
      <w:pStyle w:val="AppendixHeading2"/>
      <w:lvlText w:val="%1.%2."/>
      <w:lvlJc w:val="left"/>
      <w:pPr>
        <w:ind w:left="882" w:hanging="432"/>
      </w:pPr>
      <w:rPr>
        <w:rFonts w:ascii="Arial" w:hAnsi="Arial" w:cs="Arial" w:hint="default"/>
        <w:b/>
        <w:bCs w:val="0"/>
        <w:i w:val="0"/>
        <w:iCs w:val="0"/>
        <w:caps w:val="0"/>
        <w:smallCaps w:val="0"/>
        <w:strike w:val="0"/>
        <w:dstrike w:val="0"/>
        <w:outline w:val="0"/>
        <w:shadow w:val="0"/>
        <w:emboss w:val="0"/>
        <w:imprint w:val="0"/>
        <w:noProof w:val="0"/>
        <w:snapToGrid w:val="0"/>
        <w:vanish w:val="0"/>
        <w:color w:val="5F497A" w:themeColor="accent4" w:themeShade="BF"/>
        <w:spacing w:val="0"/>
        <w:w w:val="0"/>
        <w:kern w:val="0"/>
        <w:position w:val="0"/>
        <w:szCs w:val="0"/>
        <w:u w:val="none"/>
        <w:vertAlign w:val="baseline"/>
        <w:em w:val="none"/>
      </w:rPr>
    </w:lvl>
    <w:lvl w:ilvl="2">
      <w:start w:val="1"/>
      <w:numFmt w:val="decimal"/>
      <w:pStyle w:val="AppendixHeading3"/>
      <w:lvlText w:val="%1.%2.%3."/>
      <w:lvlJc w:val="left"/>
      <w:pPr>
        <w:ind w:left="1494" w:hanging="504"/>
      </w:pPr>
      <w:rPr>
        <w:rFonts w:ascii="Arial" w:hAnsi="Arial" w:cs="Arial" w:hint="default"/>
        <w:b/>
        <w:bCs w:val="0"/>
        <w:i w:val="0"/>
        <w:iCs w:val="0"/>
        <w:caps w:val="0"/>
        <w:smallCaps w:val="0"/>
        <w:strike w:val="0"/>
        <w:dstrike w:val="0"/>
        <w:outline w:val="0"/>
        <w:shadow w:val="0"/>
        <w:emboss w:val="0"/>
        <w:imprint w:val="0"/>
        <w:noProof w:val="0"/>
        <w:snapToGrid w:val="0"/>
        <w:vanish w:val="0"/>
        <w:color w:val="5F497A" w:themeColor="accent4" w:themeShade="BF"/>
        <w:spacing w:val="0"/>
        <w:w w:val="0"/>
        <w:kern w:val="0"/>
        <w:position w:val="0"/>
        <w:szCs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5134630"/>
    <w:multiLevelType w:val="hybridMultilevel"/>
    <w:tmpl w:val="9FFC0138"/>
    <w:lvl w:ilvl="0" w:tplc="73D0596A">
      <w:start w:val="10"/>
      <w:numFmt w:val="decimal"/>
      <w:lvlText w:val="B%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96A4874"/>
    <w:multiLevelType w:val="hybridMultilevel"/>
    <w:tmpl w:val="330E1BEE"/>
    <w:lvl w:ilvl="0" w:tplc="94F6228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nsid w:val="6D0F2EE8"/>
    <w:multiLevelType w:val="multilevel"/>
    <w:tmpl w:val="9F68006A"/>
    <w:styleLink w:val="Numbered"/>
    <w:lvl w:ilvl="0">
      <w:start w:val="1"/>
      <w:numFmt w:val="decimal"/>
      <w:lvlText w:val="%1"/>
      <w:lvlJc w:val="left"/>
      <w:pPr>
        <w:tabs>
          <w:tab w:val="num" w:pos="720"/>
        </w:tabs>
        <w:ind w:left="720" w:hanging="360"/>
      </w:pPr>
      <w:rPr>
        <w:rFonts w:ascii="Arial" w:hAnsi="Arial"/>
        <w:dstrike w:val="0"/>
        <w:color w:val="000000" w:themeColor="text1"/>
        <w:sz w:val="22"/>
        <w:vertAlign w:val="baseline"/>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01E7C94"/>
    <w:multiLevelType w:val="hybridMultilevel"/>
    <w:tmpl w:val="E480BA3E"/>
    <w:lvl w:ilvl="0" w:tplc="63E48AA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C01D26"/>
    <w:multiLevelType w:val="multilevel"/>
    <w:tmpl w:val="070A45B2"/>
    <w:lvl w:ilvl="0">
      <w:start w:val="2"/>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890F3B"/>
    <w:multiLevelType w:val="hybridMultilevel"/>
    <w:tmpl w:val="8230D44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5FC0310"/>
    <w:multiLevelType w:val="hybridMultilevel"/>
    <w:tmpl w:val="6472D44C"/>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9CD038E"/>
    <w:multiLevelType w:val="multilevel"/>
    <w:tmpl w:val="07A240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F0E0E09"/>
    <w:multiLevelType w:val="hybridMultilevel"/>
    <w:tmpl w:val="38BCDA14"/>
    <w:lvl w:ilvl="0" w:tplc="327ACF58">
      <w:start w:val="15"/>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8"/>
  </w:num>
  <w:num w:numId="3">
    <w:abstractNumId w:val="13"/>
  </w:num>
  <w:num w:numId="4">
    <w:abstractNumId w:val="41"/>
  </w:num>
  <w:num w:numId="5">
    <w:abstractNumId w:val="14"/>
  </w:num>
  <w:num w:numId="6">
    <w:abstractNumId w:val="3"/>
  </w:num>
  <w:num w:numId="7">
    <w:abstractNumId w:val="1"/>
  </w:num>
  <w:num w:numId="8">
    <w:abstractNumId w:val="19"/>
  </w:num>
  <w:num w:numId="9">
    <w:abstractNumId w:val="37"/>
  </w:num>
  <w:num w:numId="10">
    <w:abstractNumId w:val="30"/>
  </w:num>
  <w:num w:numId="11">
    <w:abstractNumId w:val="44"/>
  </w:num>
  <w:num w:numId="12">
    <w:abstractNumId w:val="10"/>
  </w:num>
  <w:num w:numId="13">
    <w:abstractNumId w:val="11"/>
  </w:num>
  <w:num w:numId="14">
    <w:abstractNumId w:val="43"/>
  </w:num>
  <w:num w:numId="15">
    <w:abstractNumId w:val="34"/>
  </w:num>
  <w:num w:numId="16">
    <w:abstractNumId w:val="24"/>
  </w:num>
  <w:num w:numId="17">
    <w:abstractNumId w:val="46"/>
  </w:num>
  <w:num w:numId="18">
    <w:abstractNumId w:val="39"/>
  </w:num>
  <w:num w:numId="19">
    <w:abstractNumId w:val="16"/>
  </w:num>
  <w:num w:numId="20">
    <w:abstractNumId w:val="18"/>
  </w:num>
  <w:num w:numId="21">
    <w:abstractNumId w:val="42"/>
  </w:num>
  <w:num w:numId="22">
    <w:abstractNumId w:val="5"/>
  </w:num>
  <w:num w:numId="23">
    <w:abstractNumId w:val="35"/>
  </w:num>
  <w:num w:numId="24">
    <w:abstractNumId w:val="25"/>
  </w:num>
  <w:num w:numId="25">
    <w:abstractNumId w:val="22"/>
  </w:num>
  <w:num w:numId="26">
    <w:abstractNumId w:val="27"/>
  </w:num>
  <w:num w:numId="27">
    <w:abstractNumId w:val="26"/>
  </w:num>
  <w:num w:numId="28">
    <w:abstractNumId w:val="28"/>
  </w:num>
  <w:num w:numId="29">
    <w:abstractNumId w:val="21"/>
  </w:num>
  <w:num w:numId="30">
    <w:abstractNumId w:val="29"/>
  </w:num>
  <w:num w:numId="31">
    <w:abstractNumId w:val="47"/>
  </w:num>
  <w:num w:numId="32">
    <w:abstractNumId w:val="20"/>
  </w:num>
  <w:num w:numId="33">
    <w:abstractNumId w:val="12"/>
  </w:num>
  <w:num w:numId="34">
    <w:abstractNumId w:val="9"/>
  </w:num>
  <w:num w:numId="35">
    <w:abstractNumId w:val="17"/>
  </w:num>
  <w:num w:numId="36">
    <w:abstractNumId w:val="4"/>
  </w:num>
  <w:num w:numId="37">
    <w:abstractNumId w:val="40"/>
  </w:num>
  <w:num w:numId="38">
    <w:abstractNumId w:val="32"/>
  </w:num>
  <w:num w:numId="39">
    <w:abstractNumId w:val="33"/>
  </w:num>
  <w:num w:numId="40">
    <w:abstractNumId w:val="23"/>
  </w:num>
  <w:num w:numId="41">
    <w:abstractNumId w:val="36"/>
  </w:num>
  <w:num w:numId="42">
    <w:abstractNumId w:val="31"/>
  </w:num>
  <w:num w:numId="43">
    <w:abstractNumId w:val="0"/>
  </w:num>
  <w:num w:numId="44">
    <w:abstractNumId w:val="6"/>
  </w:num>
  <w:num w:numId="45">
    <w:abstractNumId w:val="45"/>
  </w:num>
  <w:num w:numId="46">
    <w:abstractNumId w:val="7"/>
  </w:num>
  <w:num w:numId="47">
    <w:abstractNumId w:val="8"/>
  </w:num>
  <w:num w:numId="48">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1021"/>
  <w:stylePaneSortMethod w:val="0000"/>
  <w:documentProtection w:edit="trackedChanges"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4949F8"/>
    <w:rsid w:val="00031FCA"/>
    <w:rsid w:val="00044892"/>
    <w:rsid w:val="00060F9A"/>
    <w:rsid w:val="0006172C"/>
    <w:rsid w:val="00063C60"/>
    <w:rsid w:val="000725BA"/>
    <w:rsid w:val="000738D5"/>
    <w:rsid w:val="00076E81"/>
    <w:rsid w:val="000810B9"/>
    <w:rsid w:val="00095D5F"/>
    <w:rsid w:val="000972A0"/>
    <w:rsid w:val="000A3715"/>
    <w:rsid w:val="000B7E0D"/>
    <w:rsid w:val="000C5046"/>
    <w:rsid w:val="000D0FAB"/>
    <w:rsid w:val="000D12B2"/>
    <w:rsid w:val="000D462D"/>
    <w:rsid w:val="000F3390"/>
    <w:rsid w:val="0010415A"/>
    <w:rsid w:val="00104EDD"/>
    <w:rsid w:val="00107177"/>
    <w:rsid w:val="0011048E"/>
    <w:rsid w:val="00113EA7"/>
    <w:rsid w:val="001164FC"/>
    <w:rsid w:val="001165BC"/>
    <w:rsid w:val="0012133E"/>
    <w:rsid w:val="001233DD"/>
    <w:rsid w:val="00137F86"/>
    <w:rsid w:val="0014045B"/>
    <w:rsid w:val="00142ACF"/>
    <w:rsid w:val="00147677"/>
    <w:rsid w:val="00147A65"/>
    <w:rsid w:val="00153072"/>
    <w:rsid w:val="00154D98"/>
    <w:rsid w:val="00163508"/>
    <w:rsid w:val="00163AE4"/>
    <w:rsid w:val="00167414"/>
    <w:rsid w:val="0017275A"/>
    <w:rsid w:val="001766A1"/>
    <w:rsid w:val="00182CE4"/>
    <w:rsid w:val="00190C87"/>
    <w:rsid w:val="00192CF8"/>
    <w:rsid w:val="00193521"/>
    <w:rsid w:val="00197D3C"/>
    <w:rsid w:val="001A1AD7"/>
    <w:rsid w:val="001A71A9"/>
    <w:rsid w:val="001B0ACB"/>
    <w:rsid w:val="001B352B"/>
    <w:rsid w:val="001B6BCB"/>
    <w:rsid w:val="001C05DE"/>
    <w:rsid w:val="001C1F7B"/>
    <w:rsid w:val="001C2256"/>
    <w:rsid w:val="001C2D94"/>
    <w:rsid w:val="001E0430"/>
    <w:rsid w:val="001E0694"/>
    <w:rsid w:val="001E35A3"/>
    <w:rsid w:val="001E4F10"/>
    <w:rsid w:val="001E7B77"/>
    <w:rsid w:val="001F2AEF"/>
    <w:rsid w:val="001F312B"/>
    <w:rsid w:val="001F782C"/>
    <w:rsid w:val="00200F4B"/>
    <w:rsid w:val="0020535F"/>
    <w:rsid w:val="00206734"/>
    <w:rsid w:val="002077EA"/>
    <w:rsid w:val="00213694"/>
    <w:rsid w:val="0022542A"/>
    <w:rsid w:val="00233FFB"/>
    <w:rsid w:val="002357AC"/>
    <w:rsid w:val="00247C7C"/>
    <w:rsid w:val="00252D95"/>
    <w:rsid w:val="00266C80"/>
    <w:rsid w:val="00285C78"/>
    <w:rsid w:val="00286D8F"/>
    <w:rsid w:val="00295CCA"/>
    <w:rsid w:val="00297908"/>
    <w:rsid w:val="002A3D05"/>
    <w:rsid w:val="002A41F6"/>
    <w:rsid w:val="002A6B02"/>
    <w:rsid w:val="002B1185"/>
    <w:rsid w:val="002B1D2A"/>
    <w:rsid w:val="002C44D0"/>
    <w:rsid w:val="002C73EC"/>
    <w:rsid w:val="002C7D3D"/>
    <w:rsid w:val="002D2E44"/>
    <w:rsid w:val="002D368E"/>
    <w:rsid w:val="002E0565"/>
    <w:rsid w:val="002F29A3"/>
    <w:rsid w:val="00305437"/>
    <w:rsid w:val="003076DE"/>
    <w:rsid w:val="00307748"/>
    <w:rsid w:val="00313B12"/>
    <w:rsid w:val="003346FC"/>
    <w:rsid w:val="00336A25"/>
    <w:rsid w:val="00345D0F"/>
    <w:rsid w:val="003471C9"/>
    <w:rsid w:val="00361EF7"/>
    <w:rsid w:val="003636CB"/>
    <w:rsid w:val="00363BD3"/>
    <w:rsid w:val="00365361"/>
    <w:rsid w:val="00365DB6"/>
    <w:rsid w:val="003750B6"/>
    <w:rsid w:val="00385706"/>
    <w:rsid w:val="0038606C"/>
    <w:rsid w:val="00387912"/>
    <w:rsid w:val="00390127"/>
    <w:rsid w:val="00393B5B"/>
    <w:rsid w:val="00394F39"/>
    <w:rsid w:val="00397A45"/>
    <w:rsid w:val="003A0F85"/>
    <w:rsid w:val="003A308F"/>
    <w:rsid w:val="003A4117"/>
    <w:rsid w:val="003A46DA"/>
    <w:rsid w:val="003A5723"/>
    <w:rsid w:val="003A79F1"/>
    <w:rsid w:val="003B3743"/>
    <w:rsid w:val="003B3C74"/>
    <w:rsid w:val="003C16C6"/>
    <w:rsid w:val="003D68A0"/>
    <w:rsid w:val="003E089B"/>
    <w:rsid w:val="003E200F"/>
    <w:rsid w:val="003F395B"/>
    <w:rsid w:val="00401B84"/>
    <w:rsid w:val="00402172"/>
    <w:rsid w:val="0041132B"/>
    <w:rsid w:val="00411F84"/>
    <w:rsid w:val="004126D0"/>
    <w:rsid w:val="00413BB7"/>
    <w:rsid w:val="00416819"/>
    <w:rsid w:val="00423629"/>
    <w:rsid w:val="004359C0"/>
    <w:rsid w:val="0044139A"/>
    <w:rsid w:val="00443BCC"/>
    <w:rsid w:val="0045633D"/>
    <w:rsid w:val="0046277A"/>
    <w:rsid w:val="00475A6B"/>
    <w:rsid w:val="00483A36"/>
    <w:rsid w:val="004845D5"/>
    <w:rsid w:val="0048644B"/>
    <w:rsid w:val="00487582"/>
    <w:rsid w:val="00491CE1"/>
    <w:rsid w:val="00494169"/>
    <w:rsid w:val="004949F8"/>
    <w:rsid w:val="004B09C4"/>
    <w:rsid w:val="004B1E1F"/>
    <w:rsid w:val="004B4EE1"/>
    <w:rsid w:val="004B7C78"/>
    <w:rsid w:val="004E5D3E"/>
    <w:rsid w:val="004E6EF7"/>
    <w:rsid w:val="00504474"/>
    <w:rsid w:val="00510B88"/>
    <w:rsid w:val="00526789"/>
    <w:rsid w:val="00533ECF"/>
    <w:rsid w:val="00534A8C"/>
    <w:rsid w:val="00541771"/>
    <w:rsid w:val="00543BF1"/>
    <w:rsid w:val="00551798"/>
    <w:rsid w:val="00561DC6"/>
    <w:rsid w:val="00564C83"/>
    <w:rsid w:val="00565A04"/>
    <w:rsid w:val="00566FE0"/>
    <w:rsid w:val="00577956"/>
    <w:rsid w:val="00580985"/>
    <w:rsid w:val="005932A4"/>
    <w:rsid w:val="005A0C3F"/>
    <w:rsid w:val="005B1D77"/>
    <w:rsid w:val="005B3EEA"/>
    <w:rsid w:val="005B6368"/>
    <w:rsid w:val="005D003F"/>
    <w:rsid w:val="005D3EA5"/>
    <w:rsid w:val="005D41F6"/>
    <w:rsid w:val="006331D6"/>
    <w:rsid w:val="00635BF7"/>
    <w:rsid w:val="00636EC4"/>
    <w:rsid w:val="00643798"/>
    <w:rsid w:val="006455A7"/>
    <w:rsid w:val="00646EA9"/>
    <w:rsid w:val="00652536"/>
    <w:rsid w:val="00663E34"/>
    <w:rsid w:val="006717E3"/>
    <w:rsid w:val="006822F5"/>
    <w:rsid w:val="00682A3A"/>
    <w:rsid w:val="006904EF"/>
    <w:rsid w:val="006947D9"/>
    <w:rsid w:val="00696DFC"/>
    <w:rsid w:val="006A335F"/>
    <w:rsid w:val="006A343F"/>
    <w:rsid w:val="006B7BCD"/>
    <w:rsid w:val="006C145C"/>
    <w:rsid w:val="006C4105"/>
    <w:rsid w:val="006D1E90"/>
    <w:rsid w:val="006D4067"/>
    <w:rsid w:val="006D42BC"/>
    <w:rsid w:val="006E35D7"/>
    <w:rsid w:val="006E4F76"/>
    <w:rsid w:val="006E5672"/>
    <w:rsid w:val="006F701B"/>
    <w:rsid w:val="00704F1A"/>
    <w:rsid w:val="0071105E"/>
    <w:rsid w:val="0071785C"/>
    <w:rsid w:val="00721E89"/>
    <w:rsid w:val="00722D7C"/>
    <w:rsid w:val="0073188F"/>
    <w:rsid w:val="00732486"/>
    <w:rsid w:val="007336EB"/>
    <w:rsid w:val="00736D54"/>
    <w:rsid w:val="00752687"/>
    <w:rsid w:val="0075382D"/>
    <w:rsid w:val="00754798"/>
    <w:rsid w:val="00757FE6"/>
    <w:rsid w:val="007606E1"/>
    <w:rsid w:val="00766B9F"/>
    <w:rsid w:val="007675C9"/>
    <w:rsid w:val="00770DC8"/>
    <w:rsid w:val="007715BA"/>
    <w:rsid w:val="00771D8E"/>
    <w:rsid w:val="0077230C"/>
    <w:rsid w:val="007778F8"/>
    <w:rsid w:val="00783484"/>
    <w:rsid w:val="00785882"/>
    <w:rsid w:val="00787C5C"/>
    <w:rsid w:val="0079618F"/>
    <w:rsid w:val="007A4232"/>
    <w:rsid w:val="007A7D47"/>
    <w:rsid w:val="007C29F6"/>
    <w:rsid w:val="007D0CCC"/>
    <w:rsid w:val="007E27DB"/>
    <w:rsid w:val="007E708F"/>
    <w:rsid w:val="007F078B"/>
    <w:rsid w:val="008012CA"/>
    <w:rsid w:val="00817A91"/>
    <w:rsid w:val="00824815"/>
    <w:rsid w:val="00824D75"/>
    <w:rsid w:val="00831B18"/>
    <w:rsid w:val="00832B87"/>
    <w:rsid w:val="00832E58"/>
    <w:rsid w:val="0083584C"/>
    <w:rsid w:val="00836FE0"/>
    <w:rsid w:val="0084142C"/>
    <w:rsid w:val="0084569F"/>
    <w:rsid w:val="00850D16"/>
    <w:rsid w:val="00852826"/>
    <w:rsid w:val="00855078"/>
    <w:rsid w:val="0086028E"/>
    <w:rsid w:val="00872170"/>
    <w:rsid w:val="00875804"/>
    <w:rsid w:val="008838D8"/>
    <w:rsid w:val="008848FE"/>
    <w:rsid w:val="00886A69"/>
    <w:rsid w:val="00893D33"/>
    <w:rsid w:val="00897AA2"/>
    <w:rsid w:val="008A1800"/>
    <w:rsid w:val="008A56D5"/>
    <w:rsid w:val="008C60DF"/>
    <w:rsid w:val="008E6E4B"/>
    <w:rsid w:val="008F6832"/>
    <w:rsid w:val="009063B1"/>
    <w:rsid w:val="009103E0"/>
    <w:rsid w:val="00910EDC"/>
    <w:rsid w:val="00911698"/>
    <w:rsid w:val="00912C2F"/>
    <w:rsid w:val="009140D2"/>
    <w:rsid w:val="0092782B"/>
    <w:rsid w:val="00934824"/>
    <w:rsid w:val="00935371"/>
    <w:rsid w:val="009361BE"/>
    <w:rsid w:val="0094682C"/>
    <w:rsid w:val="00950750"/>
    <w:rsid w:val="0095799A"/>
    <w:rsid w:val="0096346D"/>
    <w:rsid w:val="00964F84"/>
    <w:rsid w:val="00980CEE"/>
    <w:rsid w:val="009833BC"/>
    <w:rsid w:val="00985ABF"/>
    <w:rsid w:val="0099711F"/>
    <w:rsid w:val="009A0E98"/>
    <w:rsid w:val="009A4EEE"/>
    <w:rsid w:val="009A7E48"/>
    <w:rsid w:val="009B10E7"/>
    <w:rsid w:val="009C0139"/>
    <w:rsid w:val="009D1918"/>
    <w:rsid w:val="009D5DCB"/>
    <w:rsid w:val="009E3CB0"/>
    <w:rsid w:val="009E3F2C"/>
    <w:rsid w:val="009E682D"/>
    <w:rsid w:val="009F4A85"/>
    <w:rsid w:val="009F7B59"/>
    <w:rsid w:val="00A01401"/>
    <w:rsid w:val="00A046E0"/>
    <w:rsid w:val="00A11F7B"/>
    <w:rsid w:val="00A20B3B"/>
    <w:rsid w:val="00A22113"/>
    <w:rsid w:val="00A331CA"/>
    <w:rsid w:val="00A36431"/>
    <w:rsid w:val="00A369C7"/>
    <w:rsid w:val="00A54B98"/>
    <w:rsid w:val="00A57D14"/>
    <w:rsid w:val="00A6555F"/>
    <w:rsid w:val="00A65DDD"/>
    <w:rsid w:val="00A76F8C"/>
    <w:rsid w:val="00A77394"/>
    <w:rsid w:val="00A85993"/>
    <w:rsid w:val="00A8783F"/>
    <w:rsid w:val="00A87F43"/>
    <w:rsid w:val="00A90CC5"/>
    <w:rsid w:val="00A950FA"/>
    <w:rsid w:val="00A9602A"/>
    <w:rsid w:val="00AA39F7"/>
    <w:rsid w:val="00AA68A0"/>
    <w:rsid w:val="00AB0340"/>
    <w:rsid w:val="00AB19F1"/>
    <w:rsid w:val="00AB4A9B"/>
    <w:rsid w:val="00AB4B09"/>
    <w:rsid w:val="00AC0B81"/>
    <w:rsid w:val="00AC3023"/>
    <w:rsid w:val="00AC3D63"/>
    <w:rsid w:val="00AC42D5"/>
    <w:rsid w:val="00AE0814"/>
    <w:rsid w:val="00AE37CF"/>
    <w:rsid w:val="00AE636A"/>
    <w:rsid w:val="00B0646D"/>
    <w:rsid w:val="00B10758"/>
    <w:rsid w:val="00B1287C"/>
    <w:rsid w:val="00B169AE"/>
    <w:rsid w:val="00B20739"/>
    <w:rsid w:val="00B23C75"/>
    <w:rsid w:val="00B25DEB"/>
    <w:rsid w:val="00B34322"/>
    <w:rsid w:val="00B41015"/>
    <w:rsid w:val="00B4145A"/>
    <w:rsid w:val="00B50663"/>
    <w:rsid w:val="00B52180"/>
    <w:rsid w:val="00B60415"/>
    <w:rsid w:val="00B6134C"/>
    <w:rsid w:val="00B62083"/>
    <w:rsid w:val="00B6333F"/>
    <w:rsid w:val="00B70699"/>
    <w:rsid w:val="00B80B22"/>
    <w:rsid w:val="00B81E8E"/>
    <w:rsid w:val="00B86216"/>
    <w:rsid w:val="00BA323B"/>
    <w:rsid w:val="00BA3459"/>
    <w:rsid w:val="00BB778D"/>
    <w:rsid w:val="00BC02C6"/>
    <w:rsid w:val="00BC3C47"/>
    <w:rsid w:val="00BC414F"/>
    <w:rsid w:val="00BC6D1A"/>
    <w:rsid w:val="00BC7E9F"/>
    <w:rsid w:val="00BD2536"/>
    <w:rsid w:val="00BD3543"/>
    <w:rsid w:val="00BD4329"/>
    <w:rsid w:val="00BD6DA7"/>
    <w:rsid w:val="00BE0A42"/>
    <w:rsid w:val="00BE4E45"/>
    <w:rsid w:val="00BE7195"/>
    <w:rsid w:val="00C014E2"/>
    <w:rsid w:val="00C02281"/>
    <w:rsid w:val="00C02319"/>
    <w:rsid w:val="00C053C2"/>
    <w:rsid w:val="00C20C76"/>
    <w:rsid w:val="00C24790"/>
    <w:rsid w:val="00C24797"/>
    <w:rsid w:val="00C250FD"/>
    <w:rsid w:val="00C305AC"/>
    <w:rsid w:val="00C33F08"/>
    <w:rsid w:val="00C43004"/>
    <w:rsid w:val="00C440A0"/>
    <w:rsid w:val="00C515BD"/>
    <w:rsid w:val="00C55451"/>
    <w:rsid w:val="00C60340"/>
    <w:rsid w:val="00C66B0F"/>
    <w:rsid w:val="00C67925"/>
    <w:rsid w:val="00C7014C"/>
    <w:rsid w:val="00C70E08"/>
    <w:rsid w:val="00C73CD0"/>
    <w:rsid w:val="00C746DC"/>
    <w:rsid w:val="00C81E0F"/>
    <w:rsid w:val="00C92EB8"/>
    <w:rsid w:val="00C95470"/>
    <w:rsid w:val="00CA0D6E"/>
    <w:rsid w:val="00CA1BF4"/>
    <w:rsid w:val="00CA6FA0"/>
    <w:rsid w:val="00CB5FBB"/>
    <w:rsid w:val="00CC2D1E"/>
    <w:rsid w:val="00CD4594"/>
    <w:rsid w:val="00CD7781"/>
    <w:rsid w:val="00CD7AB5"/>
    <w:rsid w:val="00CE146D"/>
    <w:rsid w:val="00CE23AA"/>
    <w:rsid w:val="00CF7B44"/>
    <w:rsid w:val="00D0172D"/>
    <w:rsid w:val="00D04113"/>
    <w:rsid w:val="00D10E8F"/>
    <w:rsid w:val="00D1211C"/>
    <w:rsid w:val="00D17CAB"/>
    <w:rsid w:val="00D202E8"/>
    <w:rsid w:val="00D27B55"/>
    <w:rsid w:val="00D30EC8"/>
    <w:rsid w:val="00D341E4"/>
    <w:rsid w:val="00D34C82"/>
    <w:rsid w:val="00D56C2A"/>
    <w:rsid w:val="00D7284F"/>
    <w:rsid w:val="00D8311B"/>
    <w:rsid w:val="00D900E1"/>
    <w:rsid w:val="00DA0C78"/>
    <w:rsid w:val="00DA10E2"/>
    <w:rsid w:val="00DA3A43"/>
    <w:rsid w:val="00DB35F9"/>
    <w:rsid w:val="00DC0EF5"/>
    <w:rsid w:val="00DD271B"/>
    <w:rsid w:val="00DD33B9"/>
    <w:rsid w:val="00DE405D"/>
    <w:rsid w:val="00DE4569"/>
    <w:rsid w:val="00DF1A08"/>
    <w:rsid w:val="00E01774"/>
    <w:rsid w:val="00E027F1"/>
    <w:rsid w:val="00E14402"/>
    <w:rsid w:val="00E158D5"/>
    <w:rsid w:val="00E16CD1"/>
    <w:rsid w:val="00E178C3"/>
    <w:rsid w:val="00E32F09"/>
    <w:rsid w:val="00E50EB6"/>
    <w:rsid w:val="00E57981"/>
    <w:rsid w:val="00E61AB1"/>
    <w:rsid w:val="00E73B45"/>
    <w:rsid w:val="00E752C9"/>
    <w:rsid w:val="00E80B03"/>
    <w:rsid w:val="00E9273B"/>
    <w:rsid w:val="00E92C27"/>
    <w:rsid w:val="00EA3768"/>
    <w:rsid w:val="00EB2941"/>
    <w:rsid w:val="00EB3ADE"/>
    <w:rsid w:val="00EC312B"/>
    <w:rsid w:val="00EC35D4"/>
    <w:rsid w:val="00EC39B1"/>
    <w:rsid w:val="00ED4107"/>
    <w:rsid w:val="00EE133E"/>
    <w:rsid w:val="00EE5649"/>
    <w:rsid w:val="00EF12DF"/>
    <w:rsid w:val="00EF1EF7"/>
    <w:rsid w:val="00EF2544"/>
    <w:rsid w:val="00EF61CF"/>
    <w:rsid w:val="00F04F94"/>
    <w:rsid w:val="00F0532F"/>
    <w:rsid w:val="00F06245"/>
    <w:rsid w:val="00F11400"/>
    <w:rsid w:val="00F142A4"/>
    <w:rsid w:val="00F153B4"/>
    <w:rsid w:val="00F155D1"/>
    <w:rsid w:val="00F1710D"/>
    <w:rsid w:val="00F179F1"/>
    <w:rsid w:val="00F23E22"/>
    <w:rsid w:val="00F25968"/>
    <w:rsid w:val="00F26C5A"/>
    <w:rsid w:val="00F43A92"/>
    <w:rsid w:val="00F45D3E"/>
    <w:rsid w:val="00F46241"/>
    <w:rsid w:val="00F46ABE"/>
    <w:rsid w:val="00F50A5A"/>
    <w:rsid w:val="00F54263"/>
    <w:rsid w:val="00F61FC1"/>
    <w:rsid w:val="00F72749"/>
    <w:rsid w:val="00F7569C"/>
    <w:rsid w:val="00F7615D"/>
    <w:rsid w:val="00F76601"/>
    <w:rsid w:val="00F80378"/>
    <w:rsid w:val="00F816A3"/>
    <w:rsid w:val="00F82EC0"/>
    <w:rsid w:val="00F8313A"/>
    <w:rsid w:val="00F91531"/>
    <w:rsid w:val="00F926F0"/>
    <w:rsid w:val="00F92A2D"/>
    <w:rsid w:val="00F92E49"/>
    <w:rsid w:val="00F97240"/>
    <w:rsid w:val="00FA0DDF"/>
    <w:rsid w:val="00FC0F66"/>
    <w:rsid w:val="00FD71A5"/>
    <w:rsid w:val="00FE1D3E"/>
    <w:rsid w:val="00FE5AFD"/>
    <w:rsid w:val="00FE62DB"/>
    <w:rsid w:val="00FE7CAE"/>
    <w:rsid w:val="00FF15B2"/>
    <w:rsid w:val="00FF51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941"/>
  </w:style>
  <w:style w:type="paragraph" w:styleId="Heading1">
    <w:name w:val="heading 1"/>
    <w:next w:val="BodyParagraph"/>
    <w:link w:val="Heading1Char"/>
    <w:qFormat/>
    <w:rsid w:val="003D68A0"/>
    <w:pPr>
      <w:keepNext/>
      <w:numPr>
        <w:numId w:val="3"/>
      </w:numPr>
      <w:spacing w:after="120" w:line="240" w:lineRule="auto"/>
      <w:outlineLvl w:val="0"/>
    </w:pPr>
    <w:rPr>
      <w:rFonts w:ascii="Arial Bold" w:eastAsia="Times New Roman" w:hAnsi="Arial Bold" w:cs="Times New Roman"/>
      <w:b/>
      <w:color w:val="433B67"/>
      <w:sz w:val="28"/>
      <w:szCs w:val="28"/>
    </w:rPr>
  </w:style>
  <w:style w:type="paragraph" w:styleId="Heading2">
    <w:name w:val="heading 2"/>
    <w:basedOn w:val="Heading1"/>
    <w:next w:val="BodyParagraph"/>
    <w:link w:val="Heading2Char"/>
    <w:uiPriority w:val="9"/>
    <w:unhideWhenUsed/>
    <w:qFormat/>
    <w:rsid w:val="007C29F6"/>
    <w:pPr>
      <w:numPr>
        <w:ilvl w:val="1"/>
      </w:numPr>
      <w:ind w:left="540" w:hanging="540"/>
      <w:outlineLvl w:val="1"/>
    </w:pPr>
    <w:rPr>
      <w:rFonts w:eastAsiaTheme="majorEastAsia" w:cstheme="majorBidi"/>
      <w:b w:val="0"/>
      <w:bCs/>
      <w:color w:val="5F497A" w:themeColor="accent4" w:themeShade="BF"/>
      <w:sz w:val="26"/>
      <w:szCs w:val="26"/>
    </w:rPr>
  </w:style>
  <w:style w:type="paragraph" w:styleId="Heading3">
    <w:name w:val="heading 3"/>
    <w:basedOn w:val="Heading2"/>
    <w:next w:val="BodyParagraph"/>
    <w:link w:val="Heading3Char"/>
    <w:uiPriority w:val="9"/>
    <w:unhideWhenUsed/>
    <w:qFormat/>
    <w:rsid w:val="007C29F6"/>
    <w:pPr>
      <w:keepLines/>
      <w:numPr>
        <w:ilvl w:val="2"/>
      </w:numPr>
      <w:ind w:left="1080"/>
      <w:outlineLvl w:val="2"/>
    </w:pPr>
    <w:rPr>
      <w:rFonts w:ascii="Arial" w:hAnsi="Arial"/>
      <w:b/>
      <w:bCs w:val="0"/>
    </w:rPr>
  </w:style>
  <w:style w:type="paragraph" w:styleId="Heading4">
    <w:name w:val="heading 4"/>
    <w:basedOn w:val="Normal"/>
    <w:next w:val="BodyParagraph"/>
    <w:link w:val="Heading4Char"/>
    <w:uiPriority w:val="9"/>
    <w:unhideWhenUsed/>
    <w:qFormat/>
    <w:rsid w:val="00192CF8"/>
    <w:pPr>
      <w:keepNext/>
      <w:keepLines/>
      <w:spacing w:before="200" w:after="0"/>
      <w:ind w:left="360"/>
      <w:outlineLvl w:val="3"/>
    </w:pPr>
    <w:rPr>
      <w:rFonts w:ascii="Arial" w:eastAsiaTheme="majorEastAsia" w:hAnsi="Arial" w:cs="Arial"/>
      <w:b/>
      <w:bCs/>
      <w:i/>
      <w:iCs/>
      <w:color w:val="5F497A" w:themeColor="accent4" w:themeShade="BF"/>
      <w:sz w:val="24"/>
    </w:rPr>
  </w:style>
  <w:style w:type="paragraph" w:styleId="Heading5">
    <w:name w:val="heading 5"/>
    <w:basedOn w:val="Normal"/>
    <w:next w:val="Normal"/>
    <w:link w:val="Heading5Char"/>
    <w:uiPriority w:val="9"/>
    <w:semiHidden/>
    <w:unhideWhenUsed/>
    <w:qFormat/>
    <w:rsid w:val="0046277A"/>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6277A"/>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6277A"/>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6277A"/>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6277A"/>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6B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B02"/>
    <w:rPr>
      <w:rFonts w:ascii="Tahoma" w:hAnsi="Tahoma" w:cs="Tahoma"/>
      <w:sz w:val="16"/>
      <w:szCs w:val="16"/>
    </w:rPr>
  </w:style>
  <w:style w:type="paragraph" w:customStyle="1" w:styleId="TitleHeader">
    <w:name w:val="Title Header"/>
    <w:qFormat/>
    <w:rsid w:val="002A6B02"/>
    <w:pPr>
      <w:spacing w:after="120" w:line="240" w:lineRule="auto"/>
    </w:pPr>
    <w:rPr>
      <w:rFonts w:ascii="Arial" w:eastAsia="Times New Roman" w:hAnsi="Arial" w:cs="Arial"/>
      <w:b/>
      <w:i/>
      <w:color w:val="FFFFFF"/>
      <w:sz w:val="24"/>
      <w:szCs w:val="24"/>
    </w:rPr>
  </w:style>
  <w:style w:type="paragraph" w:customStyle="1" w:styleId="TitleProposal">
    <w:name w:val="Title Proposal"/>
    <w:qFormat/>
    <w:rsid w:val="00305437"/>
    <w:pPr>
      <w:spacing w:after="400" w:line="240" w:lineRule="auto"/>
    </w:pPr>
    <w:rPr>
      <w:rFonts w:ascii="Arial" w:eastAsia="Times New Roman" w:hAnsi="Arial" w:cs="Arial"/>
      <w:b/>
      <w:color w:val="FFFFFF"/>
      <w:sz w:val="28"/>
      <w:szCs w:val="28"/>
    </w:rPr>
  </w:style>
  <w:style w:type="paragraph" w:customStyle="1" w:styleId="TitleAddress">
    <w:name w:val="Title Address"/>
    <w:qFormat/>
    <w:rsid w:val="00305437"/>
    <w:pPr>
      <w:tabs>
        <w:tab w:val="left" w:pos="3960"/>
      </w:tabs>
      <w:spacing w:after="400" w:line="240" w:lineRule="auto"/>
    </w:pPr>
    <w:rPr>
      <w:rFonts w:ascii="Arial" w:eastAsia="Times New Roman" w:hAnsi="Arial" w:cs="Arial"/>
      <w:b/>
      <w:color w:val="FFFFFF"/>
    </w:rPr>
  </w:style>
  <w:style w:type="paragraph" w:styleId="Footer">
    <w:name w:val="footer"/>
    <w:basedOn w:val="Normal"/>
    <w:link w:val="FooterChar"/>
    <w:uiPriority w:val="99"/>
    <w:rsid w:val="002A6B02"/>
    <w:pPr>
      <w:tabs>
        <w:tab w:val="center" w:pos="4320"/>
        <w:tab w:val="right" w:pos="8640"/>
      </w:tabs>
      <w:spacing w:after="0" w:line="240" w:lineRule="auto"/>
    </w:pPr>
    <w:rPr>
      <w:rFonts w:ascii="Arial" w:eastAsia="Times New Roman" w:hAnsi="Arial" w:cs="Times New Roman"/>
      <w:szCs w:val="24"/>
    </w:rPr>
  </w:style>
  <w:style w:type="character" w:customStyle="1" w:styleId="FooterChar">
    <w:name w:val="Footer Char"/>
    <w:basedOn w:val="DefaultParagraphFont"/>
    <w:link w:val="Footer"/>
    <w:uiPriority w:val="99"/>
    <w:rsid w:val="002A6B02"/>
    <w:rPr>
      <w:rFonts w:ascii="Arial" w:eastAsia="Times New Roman" w:hAnsi="Arial" w:cs="Times New Roman"/>
      <w:szCs w:val="24"/>
    </w:rPr>
  </w:style>
  <w:style w:type="character" w:styleId="PageNumber">
    <w:name w:val="page number"/>
    <w:basedOn w:val="DefaultParagraphFont"/>
    <w:rsid w:val="002A6B02"/>
  </w:style>
  <w:style w:type="paragraph" w:styleId="Header">
    <w:name w:val="header"/>
    <w:basedOn w:val="Normal"/>
    <w:link w:val="HeaderChar"/>
    <w:uiPriority w:val="99"/>
    <w:rsid w:val="002A6B02"/>
    <w:pPr>
      <w:tabs>
        <w:tab w:val="center" w:pos="4320"/>
        <w:tab w:val="right" w:pos="8640"/>
      </w:tabs>
      <w:spacing w:after="0" w:line="240" w:lineRule="auto"/>
    </w:pPr>
    <w:rPr>
      <w:rFonts w:ascii="Arial" w:eastAsia="Times New Roman" w:hAnsi="Arial" w:cs="Times New Roman"/>
      <w:szCs w:val="24"/>
    </w:rPr>
  </w:style>
  <w:style w:type="character" w:customStyle="1" w:styleId="HeaderChar">
    <w:name w:val="Header Char"/>
    <w:basedOn w:val="DefaultParagraphFont"/>
    <w:link w:val="Header"/>
    <w:uiPriority w:val="99"/>
    <w:rsid w:val="002A6B02"/>
    <w:rPr>
      <w:rFonts w:ascii="Arial" w:eastAsia="Times New Roman" w:hAnsi="Arial" w:cs="Times New Roman"/>
      <w:szCs w:val="24"/>
    </w:rPr>
  </w:style>
  <w:style w:type="paragraph" w:customStyle="1" w:styleId="PreparedFor">
    <w:name w:val="Prepared For"/>
    <w:rsid w:val="00305437"/>
    <w:pPr>
      <w:spacing w:before="400" w:after="120" w:line="240" w:lineRule="auto"/>
      <w:jc w:val="right"/>
    </w:pPr>
    <w:rPr>
      <w:rFonts w:ascii="Arial" w:eastAsia="Times New Roman" w:hAnsi="Arial" w:cs="Times New Roman"/>
      <w:i/>
      <w:szCs w:val="20"/>
    </w:rPr>
  </w:style>
  <w:style w:type="paragraph" w:customStyle="1" w:styleId="PreparedForCompany">
    <w:name w:val="Prepared For Company"/>
    <w:basedOn w:val="Normal"/>
    <w:qFormat/>
    <w:rsid w:val="00305437"/>
    <w:pPr>
      <w:spacing w:after="0" w:line="240" w:lineRule="auto"/>
      <w:jc w:val="right"/>
    </w:pPr>
    <w:rPr>
      <w:rFonts w:ascii="Arial" w:eastAsia="Times New Roman" w:hAnsi="Arial" w:cs="Times New Roman"/>
      <w:szCs w:val="24"/>
    </w:rPr>
  </w:style>
  <w:style w:type="character" w:customStyle="1" w:styleId="Heading1Char">
    <w:name w:val="Heading 1 Char"/>
    <w:basedOn w:val="DefaultParagraphFont"/>
    <w:link w:val="Heading1"/>
    <w:rsid w:val="003D68A0"/>
    <w:rPr>
      <w:rFonts w:ascii="Arial Bold" w:eastAsia="Times New Roman" w:hAnsi="Arial Bold" w:cs="Times New Roman"/>
      <w:b/>
      <w:color w:val="433B67"/>
      <w:sz w:val="28"/>
      <w:szCs w:val="28"/>
    </w:rPr>
  </w:style>
  <w:style w:type="paragraph" w:styleId="TOCHeading">
    <w:name w:val="TOC Heading"/>
    <w:basedOn w:val="Heading1"/>
    <w:next w:val="Normal"/>
    <w:uiPriority w:val="39"/>
    <w:unhideWhenUsed/>
    <w:qFormat/>
    <w:rsid w:val="00F179F1"/>
    <w:pPr>
      <w:spacing w:before="480" w:after="0" w:line="276" w:lineRule="auto"/>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C33F08"/>
    <w:pPr>
      <w:tabs>
        <w:tab w:val="left" w:pos="270"/>
        <w:tab w:val="right" w:leader="dot" w:pos="8460"/>
      </w:tabs>
      <w:spacing w:after="100"/>
    </w:pPr>
    <w:rPr>
      <w:rFonts w:ascii="Arial" w:hAnsi="Arial" w:cs="Arial"/>
      <w:noProof/>
      <w:sz w:val="24"/>
      <w:szCs w:val="24"/>
    </w:rPr>
  </w:style>
  <w:style w:type="character" w:styleId="Hyperlink">
    <w:name w:val="Hyperlink"/>
    <w:basedOn w:val="DefaultParagraphFont"/>
    <w:uiPriority w:val="99"/>
    <w:unhideWhenUsed/>
    <w:rsid w:val="001C1F7B"/>
    <w:rPr>
      <w:color w:val="0000FF" w:themeColor="hyperlink"/>
    </w:rPr>
  </w:style>
  <w:style w:type="paragraph" w:customStyle="1" w:styleId="TableofContents">
    <w:name w:val="Table of Contents"/>
    <w:qFormat/>
    <w:rsid w:val="00DB35F9"/>
    <w:pPr>
      <w:ind w:left="720"/>
    </w:pPr>
    <w:rPr>
      <w:rFonts w:ascii="Arial Bold" w:eastAsia="Times New Roman" w:hAnsi="Arial Bold" w:cs="Times New Roman"/>
      <w:b/>
      <w:color w:val="5F497A" w:themeColor="accent4" w:themeShade="BF"/>
      <w:sz w:val="28"/>
      <w:szCs w:val="24"/>
    </w:rPr>
  </w:style>
  <w:style w:type="character" w:customStyle="1" w:styleId="Heading2Char">
    <w:name w:val="Heading 2 Char"/>
    <w:basedOn w:val="DefaultParagraphFont"/>
    <w:link w:val="Heading2"/>
    <w:uiPriority w:val="9"/>
    <w:rsid w:val="007C29F6"/>
    <w:rPr>
      <w:rFonts w:ascii="Arial Bold" w:eastAsiaTheme="majorEastAsia" w:hAnsi="Arial Bold" w:cstheme="majorBidi"/>
      <w:bCs/>
      <w:color w:val="5F497A" w:themeColor="accent4" w:themeShade="BF"/>
      <w:sz w:val="26"/>
      <w:szCs w:val="26"/>
    </w:rPr>
  </w:style>
  <w:style w:type="paragraph" w:styleId="TOC2">
    <w:name w:val="toc 2"/>
    <w:basedOn w:val="Normal"/>
    <w:next w:val="Normal"/>
    <w:autoRedefine/>
    <w:uiPriority w:val="39"/>
    <w:unhideWhenUsed/>
    <w:rsid w:val="001C1F7B"/>
    <w:pPr>
      <w:tabs>
        <w:tab w:val="left" w:pos="720"/>
        <w:tab w:val="right" w:leader="dot" w:pos="8460"/>
      </w:tabs>
      <w:spacing w:after="100"/>
      <w:ind w:left="220"/>
    </w:pPr>
    <w:rPr>
      <w:rFonts w:ascii="Arial" w:hAnsi="Arial" w:cs="Arial"/>
      <w:noProof/>
      <w:sz w:val="24"/>
      <w:szCs w:val="24"/>
    </w:rPr>
  </w:style>
  <w:style w:type="character" w:customStyle="1" w:styleId="Heading3Char">
    <w:name w:val="Heading 3 Char"/>
    <w:basedOn w:val="DefaultParagraphFont"/>
    <w:link w:val="Heading3"/>
    <w:uiPriority w:val="9"/>
    <w:rsid w:val="007C29F6"/>
    <w:rPr>
      <w:rFonts w:ascii="Arial" w:eastAsiaTheme="majorEastAsia" w:hAnsi="Arial" w:cstheme="majorBidi"/>
      <w:b/>
      <w:color w:val="5F497A" w:themeColor="accent4" w:themeShade="BF"/>
      <w:sz w:val="26"/>
      <w:szCs w:val="26"/>
    </w:rPr>
  </w:style>
  <w:style w:type="paragraph" w:styleId="TOC3">
    <w:name w:val="toc 3"/>
    <w:basedOn w:val="Normal"/>
    <w:next w:val="Normal"/>
    <w:autoRedefine/>
    <w:uiPriority w:val="39"/>
    <w:unhideWhenUsed/>
    <w:rsid w:val="001C1F7B"/>
    <w:pPr>
      <w:tabs>
        <w:tab w:val="left" w:pos="1080"/>
        <w:tab w:val="right" w:leader="dot" w:pos="8460"/>
      </w:tabs>
      <w:spacing w:after="100"/>
      <w:ind w:left="440"/>
    </w:pPr>
    <w:rPr>
      <w:rFonts w:ascii="Arial" w:eastAsiaTheme="minorEastAsia" w:hAnsi="Arial" w:cs="Arial"/>
      <w:noProof/>
      <w:sz w:val="24"/>
      <w:szCs w:val="24"/>
    </w:rPr>
  </w:style>
  <w:style w:type="paragraph" w:customStyle="1" w:styleId="BodyParagraph">
    <w:name w:val="Body Paragraph"/>
    <w:qFormat/>
    <w:rsid w:val="003D68A0"/>
    <w:pPr>
      <w:spacing w:after="240" w:line="312" w:lineRule="auto"/>
    </w:pPr>
    <w:rPr>
      <w:rFonts w:ascii="Arial" w:hAnsi="Arial"/>
      <w:sz w:val="20"/>
    </w:rPr>
  </w:style>
  <w:style w:type="paragraph" w:customStyle="1" w:styleId="BodyBeforeBullet">
    <w:name w:val="Body Before Bullet"/>
    <w:basedOn w:val="BodyParagraph"/>
    <w:next w:val="Bullets"/>
    <w:qFormat/>
    <w:rsid w:val="00393B5B"/>
    <w:pPr>
      <w:keepNext/>
      <w:spacing w:after="60"/>
    </w:pPr>
  </w:style>
  <w:style w:type="paragraph" w:customStyle="1" w:styleId="Bullets">
    <w:name w:val="Bullets"/>
    <w:basedOn w:val="Normal"/>
    <w:qFormat/>
    <w:rsid w:val="003D68A0"/>
    <w:pPr>
      <w:numPr>
        <w:numId w:val="1"/>
      </w:numPr>
      <w:spacing w:after="120" w:line="240" w:lineRule="auto"/>
    </w:pPr>
    <w:rPr>
      <w:rFonts w:ascii="Arial" w:eastAsia="Times New Roman" w:hAnsi="Arial" w:cs="Arial"/>
      <w:sz w:val="20"/>
      <w:szCs w:val="21"/>
    </w:rPr>
  </w:style>
  <w:style w:type="paragraph" w:customStyle="1" w:styleId="BulletLast">
    <w:name w:val="Bullet Last"/>
    <w:basedOn w:val="Bullets"/>
    <w:next w:val="BodyParagraph"/>
    <w:qFormat/>
    <w:rsid w:val="001B352B"/>
    <w:pPr>
      <w:spacing w:after="360"/>
    </w:pPr>
  </w:style>
  <w:style w:type="paragraph" w:styleId="FootnoteText">
    <w:name w:val="footnote text"/>
    <w:basedOn w:val="Normal"/>
    <w:link w:val="FootnoteTextChar"/>
    <w:uiPriority w:val="99"/>
    <w:semiHidden/>
    <w:unhideWhenUsed/>
    <w:rsid w:val="001B35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352B"/>
    <w:rPr>
      <w:sz w:val="20"/>
      <w:szCs w:val="20"/>
    </w:rPr>
  </w:style>
  <w:style w:type="character" w:styleId="FootnoteReference">
    <w:name w:val="footnote reference"/>
    <w:basedOn w:val="DefaultParagraphFont"/>
    <w:uiPriority w:val="99"/>
    <w:semiHidden/>
    <w:unhideWhenUsed/>
    <w:rsid w:val="001B352B"/>
    <w:rPr>
      <w:vertAlign w:val="superscript"/>
    </w:rPr>
  </w:style>
  <w:style w:type="paragraph" w:customStyle="1" w:styleId="Footnote">
    <w:name w:val="Footnote"/>
    <w:basedOn w:val="FootnoteText"/>
    <w:qFormat/>
    <w:rsid w:val="001B352B"/>
    <w:pPr>
      <w:spacing w:after="120"/>
    </w:pPr>
    <w:rPr>
      <w:rFonts w:ascii="Franklin Gothic Book" w:hAnsi="Franklin Gothic Book"/>
      <w:sz w:val="18"/>
    </w:rPr>
  </w:style>
  <w:style w:type="paragraph" w:customStyle="1" w:styleId="TableFigureCaption">
    <w:name w:val="Table Figure Caption"/>
    <w:basedOn w:val="Normal"/>
    <w:next w:val="BodyParaAfterTableFigure"/>
    <w:qFormat/>
    <w:rsid w:val="004E5D3E"/>
    <w:pPr>
      <w:keepNext/>
      <w:spacing w:after="120" w:line="240" w:lineRule="auto"/>
      <w:jc w:val="center"/>
    </w:pPr>
    <w:rPr>
      <w:rFonts w:ascii="Arial" w:hAnsi="Arial"/>
      <w:b/>
    </w:rPr>
  </w:style>
  <w:style w:type="table" w:styleId="TableGrid">
    <w:name w:val="Table Grid"/>
    <w:basedOn w:val="TableNormal"/>
    <w:uiPriority w:val="59"/>
    <w:rsid w:val="001B35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Header">
    <w:name w:val="Table Header"/>
    <w:qFormat/>
    <w:rsid w:val="004E5D3E"/>
    <w:pPr>
      <w:spacing w:before="100" w:after="100" w:line="240" w:lineRule="auto"/>
      <w:jc w:val="center"/>
    </w:pPr>
    <w:rPr>
      <w:rFonts w:ascii="Arial" w:hAnsi="Arial"/>
      <w:b/>
      <w:color w:val="FFFFFF" w:themeColor="background1"/>
      <w:sz w:val="20"/>
    </w:rPr>
  </w:style>
  <w:style w:type="paragraph" w:customStyle="1" w:styleId="TableText">
    <w:name w:val="Table Text"/>
    <w:qFormat/>
    <w:rsid w:val="00142ACF"/>
    <w:pPr>
      <w:spacing w:before="60" w:after="60" w:line="240" w:lineRule="auto"/>
    </w:pPr>
    <w:rPr>
      <w:rFonts w:ascii="Arial" w:hAnsi="Arial"/>
      <w:sz w:val="18"/>
    </w:rPr>
  </w:style>
  <w:style w:type="paragraph" w:customStyle="1" w:styleId="BodyParaAfterTableFigure">
    <w:name w:val="Body Para After Table Figure"/>
    <w:basedOn w:val="BodyParagraph"/>
    <w:next w:val="BodyParagraph"/>
    <w:qFormat/>
    <w:rsid w:val="00B50663"/>
    <w:pPr>
      <w:spacing w:before="360"/>
    </w:pPr>
  </w:style>
  <w:style w:type="paragraph" w:customStyle="1" w:styleId="AppendixHeading">
    <w:name w:val="Appendix Heading"/>
    <w:basedOn w:val="Heading1"/>
    <w:next w:val="BodyParagraph"/>
    <w:qFormat/>
    <w:rsid w:val="003D68A0"/>
    <w:pPr>
      <w:numPr>
        <w:numId w:val="2"/>
      </w:numPr>
    </w:pPr>
  </w:style>
  <w:style w:type="character" w:customStyle="1" w:styleId="Heading4Char">
    <w:name w:val="Heading 4 Char"/>
    <w:basedOn w:val="DefaultParagraphFont"/>
    <w:link w:val="Heading4"/>
    <w:uiPriority w:val="9"/>
    <w:rsid w:val="00192CF8"/>
    <w:rPr>
      <w:rFonts w:ascii="Arial" w:eastAsiaTheme="majorEastAsia" w:hAnsi="Arial" w:cs="Arial"/>
      <w:b/>
      <w:bCs/>
      <w:i/>
      <w:iCs/>
      <w:color w:val="5F497A" w:themeColor="accent4" w:themeShade="BF"/>
      <w:sz w:val="24"/>
    </w:rPr>
  </w:style>
  <w:style w:type="character" w:customStyle="1" w:styleId="Heading5Char">
    <w:name w:val="Heading 5 Char"/>
    <w:basedOn w:val="DefaultParagraphFont"/>
    <w:link w:val="Heading5"/>
    <w:uiPriority w:val="9"/>
    <w:semiHidden/>
    <w:rsid w:val="0046277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6277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62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6277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6277A"/>
    <w:rPr>
      <w:rFonts w:asciiTheme="majorHAnsi" w:eastAsiaTheme="majorEastAsia" w:hAnsiTheme="majorHAnsi" w:cstheme="majorBidi"/>
      <w:i/>
      <w:iCs/>
      <w:color w:val="404040" w:themeColor="text1" w:themeTint="BF"/>
      <w:sz w:val="20"/>
      <w:szCs w:val="20"/>
    </w:rPr>
  </w:style>
  <w:style w:type="paragraph" w:customStyle="1" w:styleId="AppendixHeading2">
    <w:name w:val="Appendix Heading 2"/>
    <w:basedOn w:val="Normal"/>
    <w:next w:val="BodyParagraph"/>
    <w:qFormat/>
    <w:rsid w:val="008E6E4B"/>
    <w:pPr>
      <w:numPr>
        <w:ilvl w:val="1"/>
        <w:numId w:val="2"/>
      </w:numPr>
      <w:spacing w:after="60" w:line="240" w:lineRule="auto"/>
      <w:ind w:left="720" w:hanging="720"/>
    </w:pPr>
    <w:rPr>
      <w:rFonts w:ascii="Arial Bold" w:hAnsi="Arial Bold"/>
      <w:b/>
      <w:color w:val="5F497A" w:themeColor="accent4" w:themeShade="BF"/>
      <w:sz w:val="26"/>
    </w:rPr>
  </w:style>
  <w:style w:type="paragraph" w:customStyle="1" w:styleId="AppendixHeading3">
    <w:name w:val="Appendix Heading 3"/>
    <w:basedOn w:val="Normal"/>
    <w:next w:val="BodyParagraph"/>
    <w:qFormat/>
    <w:rsid w:val="003A0F85"/>
    <w:pPr>
      <w:numPr>
        <w:ilvl w:val="2"/>
        <w:numId w:val="2"/>
      </w:numPr>
      <w:spacing w:after="60" w:line="240" w:lineRule="auto"/>
      <w:ind w:left="1260" w:hanging="900"/>
    </w:pPr>
    <w:rPr>
      <w:rFonts w:ascii="Arial Bold" w:hAnsi="Arial Bold"/>
      <w:b/>
      <w:color w:val="5F497A" w:themeColor="accent4" w:themeShade="BF"/>
      <w:sz w:val="24"/>
    </w:rPr>
  </w:style>
  <w:style w:type="paragraph" w:customStyle="1" w:styleId="AppendixHeading4">
    <w:name w:val="Appendix Heading 4"/>
    <w:basedOn w:val="BodyParagraph"/>
    <w:next w:val="BodyParagraph"/>
    <w:qFormat/>
    <w:rsid w:val="00F50A5A"/>
    <w:pPr>
      <w:spacing w:after="60" w:line="240" w:lineRule="auto"/>
      <w:ind w:firstLine="360"/>
    </w:pPr>
    <w:rPr>
      <w:rFonts w:ascii="Arial Bold" w:hAnsi="Arial Bold"/>
      <w:b/>
      <w:i/>
      <w:color w:val="5F497A" w:themeColor="accent4" w:themeShade="BF"/>
      <w:sz w:val="24"/>
    </w:rPr>
  </w:style>
  <w:style w:type="paragraph" w:styleId="TOC4">
    <w:name w:val="toc 4"/>
    <w:basedOn w:val="Normal"/>
    <w:next w:val="Normal"/>
    <w:autoRedefine/>
    <w:uiPriority w:val="39"/>
    <w:unhideWhenUsed/>
    <w:rsid w:val="001C1F7B"/>
    <w:pPr>
      <w:tabs>
        <w:tab w:val="left" w:pos="1530"/>
        <w:tab w:val="right" w:leader="dot" w:pos="8460"/>
      </w:tabs>
      <w:spacing w:after="100"/>
      <w:ind w:left="660"/>
    </w:pPr>
    <w:rPr>
      <w:rFonts w:ascii="Arial" w:hAnsi="Arial" w:cs="Arial"/>
      <w:noProof/>
      <w:sz w:val="24"/>
      <w:szCs w:val="24"/>
    </w:rPr>
  </w:style>
  <w:style w:type="numbering" w:customStyle="1" w:styleId="Numbered">
    <w:name w:val="Numbered"/>
    <w:basedOn w:val="NoList"/>
    <w:uiPriority w:val="99"/>
    <w:rsid w:val="00137F86"/>
    <w:pPr>
      <w:numPr>
        <w:numId w:val="4"/>
      </w:numPr>
    </w:pPr>
  </w:style>
  <w:style w:type="numbering" w:customStyle="1" w:styleId="NumberedSteps">
    <w:name w:val="Numbered Steps"/>
    <w:basedOn w:val="NoList"/>
    <w:uiPriority w:val="99"/>
    <w:rsid w:val="00137F86"/>
    <w:pPr>
      <w:numPr>
        <w:numId w:val="5"/>
      </w:numPr>
    </w:pPr>
  </w:style>
  <w:style w:type="paragraph" w:customStyle="1" w:styleId="Numbers">
    <w:name w:val="Numbers"/>
    <w:qFormat/>
    <w:rsid w:val="003D68A0"/>
    <w:pPr>
      <w:numPr>
        <w:numId w:val="6"/>
      </w:numPr>
      <w:spacing w:after="120" w:line="240" w:lineRule="auto"/>
    </w:pPr>
    <w:rPr>
      <w:rFonts w:ascii="Arial" w:eastAsia="Times New Roman" w:hAnsi="Arial" w:cs="Times New Roman"/>
      <w:sz w:val="20"/>
      <w:szCs w:val="28"/>
    </w:rPr>
  </w:style>
  <w:style w:type="paragraph" w:customStyle="1" w:styleId="NumbersLast">
    <w:name w:val="Numbers Last"/>
    <w:basedOn w:val="Numbers"/>
    <w:next w:val="BodyParagraph"/>
    <w:rsid w:val="007715BA"/>
    <w:pPr>
      <w:numPr>
        <w:numId w:val="7"/>
      </w:numPr>
      <w:spacing w:after="360"/>
    </w:pPr>
  </w:style>
  <w:style w:type="paragraph" w:customStyle="1" w:styleId="LetterDate">
    <w:name w:val="Letter Date"/>
    <w:next w:val="LetterAddressee"/>
    <w:qFormat/>
    <w:rsid w:val="00EB2941"/>
    <w:pPr>
      <w:spacing w:before="2000" w:line="240" w:lineRule="auto"/>
    </w:pPr>
    <w:rPr>
      <w:rFonts w:ascii="Arial" w:hAnsi="Arial"/>
    </w:rPr>
  </w:style>
  <w:style w:type="paragraph" w:customStyle="1" w:styleId="LetterAddressee">
    <w:name w:val="Letter Addressee"/>
    <w:next w:val="LetterSalutation"/>
    <w:qFormat/>
    <w:rsid w:val="00EB2941"/>
    <w:pPr>
      <w:spacing w:after="0" w:line="240" w:lineRule="auto"/>
    </w:pPr>
    <w:rPr>
      <w:rFonts w:ascii="Arial" w:hAnsi="Arial"/>
    </w:rPr>
  </w:style>
  <w:style w:type="paragraph" w:customStyle="1" w:styleId="LetterSalutation">
    <w:name w:val="Letter Salutation"/>
    <w:next w:val="BodyParagraph"/>
    <w:qFormat/>
    <w:rsid w:val="00EB2941"/>
    <w:pPr>
      <w:spacing w:before="400" w:line="240" w:lineRule="auto"/>
    </w:pPr>
    <w:rPr>
      <w:rFonts w:ascii="Arial" w:hAnsi="Arial"/>
    </w:rPr>
  </w:style>
  <w:style w:type="paragraph" w:customStyle="1" w:styleId="LetterClosing">
    <w:name w:val="Letter Closing"/>
    <w:qFormat/>
    <w:rsid w:val="00EB2941"/>
    <w:pPr>
      <w:spacing w:after="1000" w:line="240" w:lineRule="auto"/>
    </w:pPr>
    <w:rPr>
      <w:rFonts w:ascii="Arial" w:hAnsi="Arial"/>
    </w:rPr>
  </w:style>
  <w:style w:type="character" w:styleId="CommentReference">
    <w:name w:val="annotation reference"/>
    <w:basedOn w:val="DefaultParagraphFont"/>
    <w:uiPriority w:val="99"/>
    <w:unhideWhenUsed/>
    <w:rsid w:val="001233DD"/>
    <w:rPr>
      <w:sz w:val="16"/>
      <w:szCs w:val="16"/>
    </w:rPr>
  </w:style>
  <w:style w:type="paragraph" w:styleId="CommentText">
    <w:name w:val="annotation text"/>
    <w:basedOn w:val="Normal"/>
    <w:link w:val="CommentTextChar"/>
    <w:uiPriority w:val="99"/>
    <w:unhideWhenUsed/>
    <w:rsid w:val="001233DD"/>
    <w:pPr>
      <w:spacing w:line="240" w:lineRule="auto"/>
    </w:pPr>
    <w:rPr>
      <w:sz w:val="20"/>
      <w:szCs w:val="20"/>
    </w:rPr>
  </w:style>
  <w:style w:type="character" w:customStyle="1" w:styleId="CommentTextChar">
    <w:name w:val="Comment Text Char"/>
    <w:basedOn w:val="DefaultParagraphFont"/>
    <w:link w:val="CommentText"/>
    <w:uiPriority w:val="99"/>
    <w:rsid w:val="001233DD"/>
    <w:rPr>
      <w:sz w:val="20"/>
      <w:szCs w:val="20"/>
    </w:rPr>
  </w:style>
  <w:style w:type="paragraph" w:styleId="CommentSubject">
    <w:name w:val="annotation subject"/>
    <w:basedOn w:val="CommentText"/>
    <w:next w:val="CommentText"/>
    <w:link w:val="CommentSubjectChar"/>
    <w:uiPriority w:val="99"/>
    <w:unhideWhenUsed/>
    <w:rsid w:val="001233DD"/>
    <w:rPr>
      <w:b/>
      <w:bCs/>
    </w:rPr>
  </w:style>
  <w:style w:type="character" w:customStyle="1" w:styleId="CommentSubjectChar">
    <w:name w:val="Comment Subject Char"/>
    <w:basedOn w:val="CommentTextChar"/>
    <w:link w:val="CommentSubject"/>
    <w:uiPriority w:val="99"/>
    <w:rsid w:val="001233DD"/>
    <w:rPr>
      <w:b/>
      <w:bCs/>
      <w:sz w:val="20"/>
      <w:szCs w:val="20"/>
    </w:rPr>
  </w:style>
  <w:style w:type="paragraph" w:styleId="ListParagraph">
    <w:name w:val="List Paragraph"/>
    <w:basedOn w:val="Normal"/>
    <w:uiPriority w:val="34"/>
    <w:qFormat/>
    <w:rsid w:val="009D5DCB"/>
    <w:pPr>
      <w:ind w:left="720"/>
      <w:contextualSpacing/>
    </w:pPr>
  </w:style>
  <w:style w:type="character" w:styleId="PlaceholderText">
    <w:name w:val="Placeholder Text"/>
    <w:basedOn w:val="DefaultParagraphFont"/>
    <w:uiPriority w:val="99"/>
    <w:semiHidden/>
    <w:rsid w:val="00682A3A"/>
    <w:rPr>
      <w:color w:val="808080"/>
    </w:rPr>
  </w:style>
  <w:style w:type="table" w:customStyle="1" w:styleId="TableGrid1">
    <w:name w:val="Table Grid1"/>
    <w:basedOn w:val="TableNormal"/>
    <w:next w:val="TableGrid"/>
    <w:rsid w:val="006822F5"/>
    <w:pPr>
      <w:spacing w:after="0" w:line="240" w:lineRule="auto"/>
    </w:pPr>
    <w:rPr>
      <w:rFonts w:ascii="Times New Roman" w:eastAsia="Times New Roman" w:hAnsi="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A9602A"/>
  </w:style>
  <w:style w:type="table" w:customStyle="1" w:styleId="TableGrid2">
    <w:name w:val="Table Grid2"/>
    <w:basedOn w:val="TableNormal"/>
    <w:next w:val="TableGrid"/>
    <w:rsid w:val="00A9602A"/>
    <w:pPr>
      <w:spacing w:after="0" w:line="240" w:lineRule="auto"/>
    </w:pPr>
    <w:rPr>
      <w:rFonts w:ascii="CG Times" w:eastAsia="Times New Roman" w:hAnsi="CG Times"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E089B"/>
  </w:style>
  <w:style w:type="table" w:customStyle="1" w:styleId="TableGrid3">
    <w:name w:val="Table Grid3"/>
    <w:basedOn w:val="TableNormal"/>
    <w:next w:val="TableGrid"/>
    <w:rsid w:val="003E089B"/>
    <w:pPr>
      <w:spacing w:after="0" w:line="240" w:lineRule="auto"/>
    </w:pPr>
    <w:rPr>
      <w:rFonts w:ascii="CG Times" w:eastAsia="Times New Roman" w:hAnsi="CG Times"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3B3C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787C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5D41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alloonText">
    <w:name w:val="NumberedSteps"/>
    <w:pPr>
      <w:numPr>
        <w:numId w:val="5"/>
      </w:numPr>
    </w:pPr>
  </w:style>
  <w:style w:type="numbering" w:customStyle="1" w:styleId="BalloonTextChar">
    <w:name w:val="Numbered"/>
    <w:pPr>
      <w:numPr>
        <w:numId w:val="4"/>
      </w:numPr>
    </w:pPr>
  </w:style>
</w:styles>
</file>

<file path=word/webSettings.xml><?xml version="1.0" encoding="utf-8"?>
<w:webSettings xmlns:r="http://schemas.openxmlformats.org/officeDocument/2006/relationships" xmlns:w="http://schemas.openxmlformats.org/wordprocessingml/2006/main">
  <w:divs>
    <w:div w:id="5207367">
      <w:bodyDiv w:val="1"/>
      <w:marLeft w:val="0"/>
      <w:marRight w:val="0"/>
      <w:marTop w:val="0"/>
      <w:marBottom w:val="0"/>
      <w:divBdr>
        <w:top w:val="none" w:sz="0" w:space="0" w:color="auto"/>
        <w:left w:val="none" w:sz="0" w:space="0" w:color="auto"/>
        <w:bottom w:val="none" w:sz="0" w:space="0" w:color="auto"/>
        <w:right w:val="none" w:sz="0" w:space="0" w:color="auto"/>
      </w:divBdr>
    </w:div>
    <w:div w:id="51387850">
      <w:bodyDiv w:val="1"/>
      <w:marLeft w:val="0"/>
      <w:marRight w:val="0"/>
      <w:marTop w:val="0"/>
      <w:marBottom w:val="0"/>
      <w:divBdr>
        <w:top w:val="none" w:sz="0" w:space="0" w:color="auto"/>
        <w:left w:val="none" w:sz="0" w:space="0" w:color="auto"/>
        <w:bottom w:val="none" w:sz="0" w:space="0" w:color="auto"/>
        <w:right w:val="none" w:sz="0" w:space="0" w:color="auto"/>
      </w:divBdr>
    </w:div>
    <w:div w:id="80613753">
      <w:bodyDiv w:val="1"/>
      <w:marLeft w:val="0"/>
      <w:marRight w:val="0"/>
      <w:marTop w:val="0"/>
      <w:marBottom w:val="0"/>
      <w:divBdr>
        <w:top w:val="none" w:sz="0" w:space="0" w:color="auto"/>
        <w:left w:val="none" w:sz="0" w:space="0" w:color="auto"/>
        <w:bottom w:val="none" w:sz="0" w:space="0" w:color="auto"/>
        <w:right w:val="none" w:sz="0" w:space="0" w:color="auto"/>
      </w:divBdr>
    </w:div>
    <w:div w:id="86848367">
      <w:bodyDiv w:val="1"/>
      <w:marLeft w:val="0"/>
      <w:marRight w:val="0"/>
      <w:marTop w:val="0"/>
      <w:marBottom w:val="0"/>
      <w:divBdr>
        <w:top w:val="none" w:sz="0" w:space="0" w:color="auto"/>
        <w:left w:val="none" w:sz="0" w:space="0" w:color="auto"/>
        <w:bottom w:val="none" w:sz="0" w:space="0" w:color="auto"/>
        <w:right w:val="none" w:sz="0" w:space="0" w:color="auto"/>
      </w:divBdr>
    </w:div>
    <w:div w:id="111167738">
      <w:bodyDiv w:val="1"/>
      <w:marLeft w:val="0"/>
      <w:marRight w:val="0"/>
      <w:marTop w:val="0"/>
      <w:marBottom w:val="0"/>
      <w:divBdr>
        <w:top w:val="none" w:sz="0" w:space="0" w:color="auto"/>
        <w:left w:val="none" w:sz="0" w:space="0" w:color="auto"/>
        <w:bottom w:val="none" w:sz="0" w:space="0" w:color="auto"/>
        <w:right w:val="none" w:sz="0" w:space="0" w:color="auto"/>
      </w:divBdr>
    </w:div>
    <w:div w:id="171532188">
      <w:bodyDiv w:val="1"/>
      <w:marLeft w:val="0"/>
      <w:marRight w:val="0"/>
      <w:marTop w:val="0"/>
      <w:marBottom w:val="0"/>
      <w:divBdr>
        <w:top w:val="none" w:sz="0" w:space="0" w:color="auto"/>
        <w:left w:val="none" w:sz="0" w:space="0" w:color="auto"/>
        <w:bottom w:val="none" w:sz="0" w:space="0" w:color="auto"/>
        <w:right w:val="none" w:sz="0" w:space="0" w:color="auto"/>
      </w:divBdr>
    </w:div>
    <w:div w:id="177282769">
      <w:bodyDiv w:val="1"/>
      <w:marLeft w:val="0"/>
      <w:marRight w:val="0"/>
      <w:marTop w:val="0"/>
      <w:marBottom w:val="0"/>
      <w:divBdr>
        <w:top w:val="none" w:sz="0" w:space="0" w:color="auto"/>
        <w:left w:val="none" w:sz="0" w:space="0" w:color="auto"/>
        <w:bottom w:val="none" w:sz="0" w:space="0" w:color="auto"/>
        <w:right w:val="none" w:sz="0" w:space="0" w:color="auto"/>
      </w:divBdr>
    </w:div>
    <w:div w:id="185338187">
      <w:bodyDiv w:val="1"/>
      <w:marLeft w:val="0"/>
      <w:marRight w:val="0"/>
      <w:marTop w:val="0"/>
      <w:marBottom w:val="0"/>
      <w:divBdr>
        <w:top w:val="none" w:sz="0" w:space="0" w:color="auto"/>
        <w:left w:val="none" w:sz="0" w:space="0" w:color="auto"/>
        <w:bottom w:val="none" w:sz="0" w:space="0" w:color="auto"/>
        <w:right w:val="none" w:sz="0" w:space="0" w:color="auto"/>
      </w:divBdr>
    </w:div>
    <w:div w:id="215893852">
      <w:bodyDiv w:val="1"/>
      <w:marLeft w:val="0"/>
      <w:marRight w:val="0"/>
      <w:marTop w:val="0"/>
      <w:marBottom w:val="0"/>
      <w:divBdr>
        <w:top w:val="none" w:sz="0" w:space="0" w:color="auto"/>
        <w:left w:val="none" w:sz="0" w:space="0" w:color="auto"/>
        <w:bottom w:val="none" w:sz="0" w:space="0" w:color="auto"/>
        <w:right w:val="none" w:sz="0" w:space="0" w:color="auto"/>
      </w:divBdr>
    </w:div>
    <w:div w:id="222836364">
      <w:bodyDiv w:val="1"/>
      <w:marLeft w:val="0"/>
      <w:marRight w:val="0"/>
      <w:marTop w:val="0"/>
      <w:marBottom w:val="0"/>
      <w:divBdr>
        <w:top w:val="none" w:sz="0" w:space="0" w:color="auto"/>
        <w:left w:val="none" w:sz="0" w:space="0" w:color="auto"/>
        <w:bottom w:val="none" w:sz="0" w:space="0" w:color="auto"/>
        <w:right w:val="none" w:sz="0" w:space="0" w:color="auto"/>
      </w:divBdr>
    </w:div>
    <w:div w:id="235750904">
      <w:bodyDiv w:val="1"/>
      <w:marLeft w:val="0"/>
      <w:marRight w:val="0"/>
      <w:marTop w:val="0"/>
      <w:marBottom w:val="0"/>
      <w:divBdr>
        <w:top w:val="none" w:sz="0" w:space="0" w:color="auto"/>
        <w:left w:val="none" w:sz="0" w:space="0" w:color="auto"/>
        <w:bottom w:val="none" w:sz="0" w:space="0" w:color="auto"/>
        <w:right w:val="none" w:sz="0" w:space="0" w:color="auto"/>
      </w:divBdr>
    </w:div>
    <w:div w:id="251553239">
      <w:bodyDiv w:val="1"/>
      <w:marLeft w:val="0"/>
      <w:marRight w:val="0"/>
      <w:marTop w:val="0"/>
      <w:marBottom w:val="0"/>
      <w:divBdr>
        <w:top w:val="none" w:sz="0" w:space="0" w:color="auto"/>
        <w:left w:val="none" w:sz="0" w:space="0" w:color="auto"/>
        <w:bottom w:val="none" w:sz="0" w:space="0" w:color="auto"/>
        <w:right w:val="none" w:sz="0" w:space="0" w:color="auto"/>
      </w:divBdr>
    </w:div>
    <w:div w:id="269093764">
      <w:bodyDiv w:val="1"/>
      <w:marLeft w:val="0"/>
      <w:marRight w:val="0"/>
      <w:marTop w:val="0"/>
      <w:marBottom w:val="0"/>
      <w:divBdr>
        <w:top w:val="none" w:sz="0" w:space="0" w:color="auto"/>
        <w:left w:val="none" w:sz="0" w:space="0" w:color="auto"/>
        <w:bottom w:val="none" w:sz="0" w:space="0" w:color="auto"/>
        <w:right w:val="none" w:sz="0" w:space="0" w:color="auto"/>
      </w:divBdr>
    </w:div>
    <w:div w:id="271476162">
      <w:bodyDiv w:val="1"/>
      <w:marLeft w:val="0"/>
      <w:marRight w:val="0"/>
      <w:marTop w:val="0"/>
      <w:marBottom w:val="0"/>
      <w:divBdr>
        <w:top w:val="none" w:sz="0" w:space="0" w:color="auto"/>
        <w:left w:val="none" w:sz="0" w:space="0" w:color="auto"/>
        <w:bottom w:val="none" w:sz="0" w:space="0" w:color="auto"/>
        <w:right w:val="none" w:sz="0" w:space="0" w:color="auto"/>
      </w:divBdr>
    </w:div>
    <w:div w:id="288322715">
      <w:bodyDiv w:val="1"/>
      <w:marLeft w:val="0"/>
      <w:marRight w:val="0"/>
      <w:marTop w:val="0"/>
      <w:marBottom w:val="0"/>
      <w:divBdr>
        <w:top w:val="none" w:sz="0" w:space="0" w:color="auto"/>
        <w:left w:val="none" w:sz="0" w:space="0" w:color="auto"/>
        <w:bottom w:val="none" w:sz="0" w:space="0" w:color="auto"/>
        <w:right w:val="none" w:sz="0" w:space="0" w:color="auto"/>
      </w:divBdr>
    </w:div>
    <w:div w:id="299725222">
      <w:bodyDiv w:val="1"/>
      <w:marLeft w:val="0"/>
      <w:marRight w:val="0"/>
      <w:marTop w:val="0"/>
      <w:marBottom w:val="0"/>
      <w:divBdr>
        <w:top w:val="none" w:sz="0" w:space="0" w:color="auto"/>
        <w:left w:val="none" w:sz="0" w:space="0" w:color="auto"/>
        <w:bottom w:val="none" w:sz="0" w:space="0" w:color="auto"/>
        <w:right w:val="none" w:sz="0" w:space="0" w:color="auto"/>
      </w:divBdr>
    </w:div>
    <w:div w:id="358626581">
      <w:bodyDiv w:val="1"/>
      <w:marLeft w:val="0"/>
      <w:marRight w:val="0"/>
      <w:marTop w:val="0"/>
      <w:marBottom w:val="0"/>
      <w:divBdr>
        <w:top w:val="none" w:sz="0" w:space="0" w:color="auto"/>
        <w:left w:val="none" w:sz="0" w:space="0" w:color="auto"/>
        <w:bottom w:val="none" w:sz="0" w:space="0" w:color="auto"/>
        <w:right w:val="none" w:sz="0" w:space="0" w:color="auto"/>
      </w:divBdr>
    </w:div>
    <w:div w:id="363557082">
      <w:bodyDiv w:val="1"/>
      <w:marLeft w:val="0"/>
      <w:marRight w:val="0"/>
      <w:marTop w:val="0"/>
      <w:marBottom w:val="0"/>
      <w:divBdr>
        <w:top w:val="none" w:sz="0" w:space="0" w:color="auto"/>
        <w:left w:val="none" w:sz="0" w:space="0" w:color="auto"/>
        <w:bottom w:val="none" w:sz="0" w:space="0" w:color="auto"/>
        <w:right w:val="none" w:sz="0" w:space="0" w:color="auto"/>
      </w:divBdr>
    </w:div>
    <w:div w:id="405693259">
      <w:bodyDiv w:val="1"/>
      <w:marLeft w:val="0"/>
      <w:marRight w:val="0"/>
      <w:marTop w:val="0"/>
      <w:marBottom w:val="0"/>
      <w:divBdr>
        <w:top w:val="none" w:sz="0" w:space="0" w:color="auto"/>
        <w:left w:val="none" w:sz="0" w:space="0" w:color="auto"/>
        <w:bottom w:val="none" w:sz="0" w:space="0" w:color="auto"/>
        <w:right w:val="none" w:sz="0" w:space="0" w:color="auto"/>
      </w:divBdr>
    </w:div>
    <w:div w:id="455682011">
      <w:bodyDiv w:val="1"/>
      <w:marLeft w:val="0"/>
      <w:marRight w:val="0"/>
      <w:marTop w:val="0"/>
      <w:marBottom w:val="0"/>
      <w:divBdr>
        <w:top w:val="none" w:sz="0" w:space="0" w:color="auto"/>
        <w:left w:val="none" w:sz="0" w:space="0" w:color="auto"/>
        <w:bottom w:val="none" w:sz="0" w:space="0" w:color="auto"/>
        <w:right w:val="none" w:sz="0" w:space="0" w:color="auto"/>
      </w:divBdr>
    </w:div>
    <w:div w:id="459570871">
      <w:bodyDiv w:val="1"/>
      <w:marLeft w:val="0"/>
      <w:marRight w:val="0"/>
      <w:marTop w:val="0"/>
      <w:marBottom w:val="0"/>
      <w:divBdr>
        <w:top w:val="none" w:sz="0" w:space="0" w:color="auto"/>
        <w:left w:val="none" w:sz="0" w:space="0" w:color="auto"/>
        <w:bottom w:val="none" w:sz="0" w:space="0" w:color="auto"/>
        <w:right w:val="none" w:sz="0" w:space="0" w:color="auto"/>
      </w:divBdr>
    </w:div>
    <w:div w:id="502011929">
      <w:bodyDiv w:val="1"/>
      <w:marLeft w:val="0"/>
      <w:marRight w:val="0"/>
      <w:marTop w:val="0"/>
      <w:marBottom w:val="0"/>
      <w:divBdr>
        <w:top w:val="none" w:sz="0" w:space="0" w:color="auto"/>
        <w:left w:val="none" w:sz="0" w:space="0" w:color="auto"/>
        <w:bottom w:val="none" w:sz="0" w:space="0" w:color="auto"/>
        <w:right w:val="none" w:sz="0" w:space="0" w:color="auto"/>
      </w:divBdr>
    </w:div>
    <w:div w:id="514806302">
      <w:bodyDiv w:val="1"/>
      <w:marLeft w:val="0"/>
      <w:marRight w:val="0"/>
      <w:marTop w:val="0"/>
      <w:marBottom w:val="0"/>
      <w:divBdr>
        <w:top w:val="none" w:sz="0" w:space="0" w:color="auto"/>
        <w:left w:val="none" w:sz="0" w:space="0" w:color="auto"/>
        <w:bottom w:val="none" w:sz="0" w:space="0" w:color="auto"/>
        <w:right w:val="none" w:sz="0" w:space="0" w:color="auto"/>
      </w:divBdr>
    </w:div>
    <w:div w:id="525094518">
      <w:bodyDiv w:val="1"/>
      <w:marLeft w:val="0"/>
      <w:marRight w:val="0"/>
      <w:marTop w:val="0"/>
      <w:marBottom w:val="0"/>
      <w:divBdr>
        <w:top w:val="none" w:sz="0" w:space="0" w:color="auto"/>
        <w:left w:val="none" w:sz="0" w:space="0" w:color="auto"/>
        <w:bottom w:val="none" w:sz="0" w:space="0" w:color="auto"/>
        <w:right w:val="none" w:sz="0" w:space="0" w:color="auto"/>
      </w:divBdr>
    </w:div>
    <w:div w:id="566382644">
      <w:bodyDiv w:val="1"/>
      <w:marLeft w:val="0"/>
      <w:marRight w:val="0"/>
      <w:marTop w:val="0"/>
      <w:marBottom w:val="0"/>
      <w:divBdr>
        <w:top w:val="none" w:sz="0" w:space="0" w:color="auto"/>
        <w:left w:val="none" w:sz="0" w:space="0" w:color="auto"/>
        <w:bottom w:val="none" w:sz="0" w:space="0" w:color="auto"/>
        <w:right w:val="none" w:sz="0" w:space="0" w:color="auto"/>
      </w:divBdr>
    </w:div>
    <w:div w:id="576863933">
      <w:bodyDiv w:val="1"/>
      <w:marLeft w:val="0"/>
      <w:marRight w:val="0"/>
      <w:marTop w:val="0"/>
      <w:marBottom w:val="0"/>
      <w:divBdr>
        <w:top w:val="none" w:sz="0" w:space="0" w:color="auto"/>
        <w:left w:val="none" w:sz="0" w:space="0" w:color="auto"/>
        <w:bottom w:val="none" w:sz="0" w:space="0" w:color="auto"/>
        <w:right w:val="none" w:sz="0" w:space="0" w:color="auto"/>
      </w:divBdr>
    </w:div>
    <w:div w:id="578951061">
      <w:bodyDiv w:val="1"/>
      <w:marLeft w:val="0"/>
      <w:marRight w:val="0"/>
      <w:marTop w:val="0"/>
      <w:marBottom w:val="0"/>
      <w:divBdr>
        <w:top w:val="none" w:sz="0" w:space="0" w:color="auto"/>
        <w:left w:val="none" w:sz="0" w:space="0" w:color="auto"/>
        <w:bottom w:val="none" w:sz="0" w:space="0" w:color="auto"/>
        <w:right w:val="none" w:sz="0" w:space="0" w:color="auto"/>
      </w:divBdr>
    </w:div>
    <w:div w:id="598297236">
      <w:bodyDiv w:val="1"/>
      <w:marLeft w:val="0"/>
      <w:marRight w:val="0"/>
      <w:marTop w:val="0"/>
      <w:marBottom w:val="0"/>
      <w:divBdr>
        <w:top w:val="none" w:sz="0" w:space="0" w:color="auto"/>
        <w:left w:val="none" w:sz="0" w:space="0" w:color="auto"/>
        <w:bottom w:val="none" w:sz="0" w:space="0" w:color="auto"/>
        <w:right w:val="none" w:sz="0" w:space="0" w:color="auto"/>
      </w:divBdr>
    </w:div>
    <w:div w:id="696076332">
      <w:bodyDiv w:val="1"/>
      <w:marLeft w:val="0"/>
      <w:marRight w:val="0"/>
      <w:marTop w:val="0"/>
      <w:marBottom w:val="0"/>
      <w:divBdr>
        <w:top w:val="none" w:sz="0" w:space="0" w:color="auto"/>
        <w:left w:val="none" w:sz="0" w:space="0" w:color="auto"/>
        <w:bottom w:val="none" w:sz="0" w:space="0" w:color="auto"/>
        <w:right w:val="none" w:sz="0" w:space="0" w:color="auto"/>
      </w:divBdr>
    </w:div>
    <w:div w:id="705444678">
      <w:bodyDiv w:val="1"/>
      <w:marLeft w:val="0"/>
      <w:marRight w:val="0"/>
      <w:marTop w:val="0"/>
      <w:marBottom w:val="0"/>
      <w:divBdr>
        <w:top w:val="none" w:sz="0" w:space="0" w:color="auto"/>
        <w:left w:val="none" w:sz="0" w:space="0" w:color="auto"/>
        <w:bottom w:val="none" w:sz="0" w:space="0" w:color="auto"/>
        <w:right w:val="none" w:sz="0" w:space="0" w:color="auto"/>
      </w:divBdr>
    </w:div>
    <w:div w:id="711267660">
      <w:bodyDiv w:val="1"/>
      <w:marLeft w:val="0"/>
      <w:marRight w:val="0"/>
      <w:marTop w:val="0"/>
      <w:marBottom w:val="0"/>
      <w:divBdr>
        <w:top w:val="none" w:sz="0" w:space="0" w:color="auto"/>
        <w:left w:val="none" w:sz="0" w:space="0" w:color="auto"/>
        <w:bottom w:val="none" w:sz="0" w:space="0" w:color="auto"/>
        <w:right w:val="none" w:sz="0" w:space="0" w:color="auto"/>
      </w:divBdr>
    </w:div>
    <w:div w:id="723677669">
      <w:bodyDiv w:val="1"/>
      <w:marLeft w:val="0"/>
      <w:marRight w:val="0"/>
      <w:marTop w:val="0"/>
      <w:marBottom w:val="0"/>
      <w:divBdr>
        <w:top w:val="none" w:sz="0" w:space="0" w:color="auto"/>
        <w:left w:val="none" w:sz="0" w:space="0" w:color="auto"/>
        <w:bottom w:val="none" w:sz="0" w:space="0" w:color="auto"/>
        <w:right w:val="none" w:sz="0" w:space="0" w:color="auto"/>
      </w:divBdr>
    </w:div>
    <w:div w:id="726953871">
      <w:bodyDiv w:val="1"/>
      <w:marLeft w:val="0"/>
      <w:marRight w:val="0"/>
      <w:marTop w:val="0"/>
      <w:marBottom w:val="0"/>
      <w:divBdr>
        <w:top w:val="none" w:sz="0" w:space="0" w:color="auto"/>
        <w:left w:val="none" w:sz="0" w:space="0" w:color="auto"/>
        <w:bottom w:val="none" w:sz="0" w:space="0" w:color="auto"/>
        <w:right w:val="none" w:sz="0" w:space="0" w:color="auto"/>
      </w:divBdr>
    </w:div>
    <w:div w:id="747196717">
      <w:bodyDiv w:val="1"/>
      <w:marLeft w:val="0"/>
      <w:marRight w:val="0"/>
      <w:marTop w:val="0"/>
      <w:marBottom w:val="0"/>
      <w:divBdr>
        <w:top w:val="none" w:sz="0" w:space="0" w:color="auto"/>
        <w:left w:val="none" w:sz="0" w:space="0" w:color="auto"/>
        <w:bottom w:val="none" w:sz="0" w:space="0" w:color="auto"/>
        <w:right w:val="none" w:sz="0" w:space="0" w:color="auto"/>
      </w:divBdr>
    </w:div>
    <w:div w:id="760181196">
      <w:bodyDiv w:val="1"/>
      <w:marLeft w:val="0"/>
      <w:marRight w:val="0"/>
      <w:marTop w:val="0"/>
      <w:marBottom w:val="0"/>
      <w:divBdr>
        <w:top w:val="none" w:sz="0" w:space="0" w:color="auto"/>
        <w:left w:val="none" w:sz="0" w:space="0" w:color="auto"/>
        <w:bottom w:val="none" w:sz="0" w:space="0" w:color="auto"/>
        <w:right w:val="none" w:sz="0" w:space="0" w:color="auto"/>
      </w:divBdr>
    </w:div>
    <w:div w:id="796483408">
      <w:bodyDiv w:val="1"/>
      <w:marLeft w:val="0"/>
      <w:marRight w:val="0"/>
      <w:marTop w:val="0"/>
      <w:marBottom w:val="0"/>
      <w:divBdr>
        <w:top w:val="none" w:sz="0" w:space="0" w:color="auto"/>
        <w:left w:val="none" w:sz="0" w:space="0" w:color="auto"/>
        <w:bottom w:val="none" w:sz="0" w:space="0" w:color="auto"/>
        <w:right w:val="none" w:sz="0" w:space="0" w:color="auto"/>
      </w:divBdr>
    </w:div>
    <w:div w:id="804081692">
      <w:bodyDiv w:val="1"/>
      <w:marLeft w:val="0"/>
      <w:marRight w:val="0"/>
      <w:marTop w:val="0"/>
      <w:marBottom w:val="0"/>
      <w:divBdr>
        <w:top w:val="none" w:sz="0" w:space="0" w:color="auto"/>
        <w:left w:val="none" w:sz="0" w:space="0" w:color="auto"/>
        <w:bottom w:val="none" w:sz="0" w:space="0" w:color="auto"/>
        <w:right w:val="none" w:sz="0" w:space="0" w:color="auto"/>
      </w:divBdr>
    </w:div>
    <w:div w:id="824589077">
      <w:bodyDiv w:val="1"/>
      <w:marLeft w:val="0"/>
      <w:marRight w:val="0"/>
      <w:marTop w:val="0"/>
      <w:marBottom w:val="0"/>
      <w:divBdr>
        <w:top w:val="none" w:sz="0" w:space="0" w:color="auto"/>
        <w:left w:val="none" w:sz="0" w:space="0" w:color="auto"/>
        <w:bottom w:val="none" w:sz="0" w:space="0" w:color="auto"/>
        <w:right w:val="none" w:sz="0" w:space="0" w:color="auto"/>
      </w:divBdr>
    </w:div>
    <w:div w:id="890926827">
      <w:bodyDiv w:val="1"/>
      <w:marLeft w:val="0"/>
      <w:marRight w:val="0"/>
      <w:marTop w:val="0"/>
      <w:marBottom w:val="0"/>
      <w:divBdr>
        <w:top w:val="none" w:sz="0" w:space="0" w:color="auto"/>
        <w:left w:val="none" w:sz="0" w:space="0" w:color="auto"/>
        <w:bottom w:val="none" w:sz="0" w:space="0" w:color="auto"/>
        <w:right w:val="none" w:sz="0" w:space="0" w:color="auto"/>
      </w:divBdr>
    </w:div>
    <w:div w:id="928999932">
      <w:bodyDiv w:val="1"/>
      <w:marLeft w:val="0"/>
      <w:marRight w:val="0"/>
      <w:marTop w:val="0"/>
      <w:marBottom w:val="0"/>
      <w:divBdr>
        <w:top w:val="none" w:sz="0" w:space="0" w:color="auto"/>
        <w:left w:val="none" w:sz="0" w:space="0" w:color="auto"/>
        <w:bottom w:val="none" w:sz="0" w:space="0" w:color="auto"/>
        <w:right w:val="none" w:sz="0" w:space="0" w:color="auto"/>
      </w:divBdr>
    </w:div>
    <w:div w:id="977150208">
      <w:bodyDiv w:val="1"/>
      <w:marLeft w:val="0"/>
      <w:marRight w:val="0"/>
      <w:marTop w:val="0"/>
      <w:marBottom w:val="0"/>
      <w:divBdr>
        <w:top w:val="none" w:sz="0" w:space="0" w:color="auto"/>
        <w:left w:val="none" w:sz="0" w:space="0" w:color="auto"/>
        <w:bottom w:val="none" w:sz="0" w:space="0" w:color="auto"/>
        <w:right w:val="none" w:sz="0" w:space="0" w:color="auto"/>
      </w:divBdr>
    </w:div>
    <w:div w:id="1040474912">
      <w:bodyDiv w:val="1"/>
      <w:marLeft w:val="0"/>
      <w:marRight w:val="0"/>
      <w:marTop w:val="0"/>
      <w:marBottom w:val="0"/>
      <w:divBdr>
        <w:top w:val="none" w:sz="0" w:space="0" w:color="auto"/>
        <w:left w:val="none" w:sz="0" w:space="0" w:color="auto"/>
        <w:bottom w:val="none" w:sz="0" w:space="0" w:color="auto"/>
        <w:right w:val="none" w:sz="0" w:space="0" w:color="auto"/>
      </w:divBdr>
    </w:div>
    <w:div w:id="1077019577">
      <w:bodyDiv w:val="1"/>
      <w:marLeft w:val="0"/>
      <w:marRight w:val="0"/>
      <w:marTop w:val="0"/>
      <w:marBottom w:val="0"/>
      <w:divBdr>
        <w:top w:val="none" w:sz="0" w:space="0" w:color="auto"/>
        <w:left w:val="none" w:sz="0" w:space="0" w:color="auto"/>
        <w:bottom w:val="none" w:sz="0" w:space="0" w:color="auto"/>
        <w:right w:val="none" w:sz="0" w:space="0" w:color="auto"/>
      </w:divBdr>
    </w:div>
    <w:div w:id="1078289385">
      <w:bodyDiv w:val="1"/>
      <w:marLeft w:val="0"/>
      <w:marRight w:val="0"/>
      <w:marTop w:val="0"/>
      <w:marBottom w:val="0"/>
      <w:divBdr>
        <w:top w:val="none" w:sz="0" w:space="0" w:color="auto"/>
        <w:left w:val="none" w:sz="0" w:space="0" w:color="auto"/>
        <w:bottom w:val="none" w:sz="0" w:space="0" w:color="auto"/>
        <w:right w:val="none" w:sz="0" w:space="0" w:color="auto"/>
      </w:divBdr>
    </w:div>
    <w:div w:id="1081096856">
      <w:bodyDiv w:val="1"/>
      <w:marLeft w:val="0"/>
      <w:marRight w:val="0"/>
      <w:marTop w:val="0"/>
      <w:marBottom w:val="0"/>
      <w:divBdr>
        <w:top w:val="none" w:sz="0" w:space="0" w:color="auto"/>
        <w:left w:val="none" w:sz="0" w:space="0" w:color="auto"/>
        <w:bottom w:val="none" w:sz="0" w:space="0" w:color="auto"/>
        <w:right w:val="none" w:sz="0" w:space="0" w:color="auto"/>
      </w:divBdr>
    </w:div>
    <w:div w:id="1135872258">
      <w:bodyDiv w:val="1"/>
      <w:marLeft w:val="0"/>
      <w:marRight w:val="0"/>
      <w:marTop w:val="0"/>
      <w:marBottom w:val="0"/>
      <w:divBdr>
        <w:top w:val="none" w:sz="0" w:space="0" w:color="auto"/>
        <w:left w:val="none" w:sz="0" w:space="0" w:color="auto"/>
        <w:bottom w:val="none" w:sz="0" w:space="0" w:color="auto"/>
        <w:right w:val="none" w:sz="0" w:space="0" w:color="auto"/>
      </w:divBdr>
    </w:div>
    <w:div w:id="1183936505">
      <w:bodyDiv w:val="1"/>
      <w:marLeft w:val="0"/>
      <w:marRight w:val="0"/>
      <w:marTop w:val="0"/>
      <w:marBottom w:val="0"/>
      <w:divBdr>
        <w:top w:val="none" w:sz="0" w:space="0" w:color="auto"/>
        <w:left w:val="none" w:sz="0" w:space="0" w:color="auto"/>
        <w:bottom w:val="none" w:sz="0" w:space="0" w:color="auto"/>
        <w:right w:val="none" w:sz="0" w:space="0" w:color="auto"/>
      </w:divBdr>
    </w:div>
    <w:div w:id="1266037775">
      <w:bodyDiv w:val="1"/>
      <w:marLeft w:val="0"/>
      <w:marRight w:val="0"/>
      <w:marTop w:val="0"/>
      <w:marBottom w:val="0"/>
      <w:divBdr>
        <w:top w:val="none" w:sz="0" w:space="0" w:color="auto"/>
        <w:left w:val="none" w:sz="0" w:space="0" w:color="auto"/>
        <w:bottom w:val="none" w:sz="0" w:space="0" w:color="auto"/>
        <w:right w:val="none" w:sz="0" w:space="0" w:color="auto"/>
      </w:divBdr>
    </w:div>
    <w:div w:id="1303846336">
      <w:bodyDiv w:val="1"/>
      <w:marLeft w:val="0"/>
      <w:marRight w:val="0"/>
      <w:marTop w:val="0"/>
      <w:marBottom w:val="0"/>
      <w:divBdr>
        <w:top w:val="none" w:sz="0" w:space="0" w:color="auto"/>
        <w:left w:val="none" w:sz="0" w:space="0" w:color="auto"/>
        <w:bottom w:val="none" w:sz="0" w:space="0" w:color="auto"/>
        <w:right w:val="none" w:sz="0" w:space="0" w:color="auto"/>
      </w:divBdr>
    </w:div>
    <w:div w:id="1311792242">
      <w:bodyDiv w:val="1"/>
      <w:marLeft w:val="0"/>
      <w:marRight w:val="0"/>
      <w:marTop w:val="0"/>
      <w:marBottom w:val="0"/>
      <w:divBdr>
        <w:top w:val="none" w:sz="0" w:space="0" w:color="auto"/>
        <w:left w:val="none" w:sz="0" w:space="0" w:color="auto"/>
        <w:bottom w:val="none" w:sz="0" w:space="0" w:color="auto"/>
        <w:right w:val="none" w:sz="0" w:space="0" w:color="auto"/>
      </w:divBdr>
    </w:div>
    <w:div w:id="1379864239">
      <w:bodyDiv w:val="1"/>
      <w:marLeft w:val="0"/>
      <w:marRight w:val="0"/>
      <w:marTop w:val="0"/>
      <w:marBottom w:val="0"/>
      <w:divBdr>
        <w:top w:val="none" w:sz="0" w:space="0" w:color="auto"/>
        <w:left w:val="none" w:sz="0" w:space="0" w:color="auto"/>
        <w:bottom w:val="none" w:sz="0" w:space="0" w:color="auto"/>
        <w:right w:val="none" w:sz="0" w:space="0" w:color="auto"/>
      </w:divBdr>
    </w:div>
    <w:div w:id="1384016063">
      <w:bodyDiv w:val="1"/>
      <w:marLeft w:val="0"/>
      <w:marRight w:val="0"/>
      <w:marTop w:val="0"/>
      <w:marBottom w:val="0"/>
      <w:divBdr>
        <w:top w:val="none" w:sz="0" w:space="0" w:color="auto"/>
        <w:left w:val="none" w:sz="0" w:space="0" w:color="auto"/>
        <w:bottom w:val="none" w:sz="0" w:space="0" w:color="auto"/>
        <w:right w:val="none" w:sz="0" w:space="0" w:color="auto"/>
      </w:divBdr>
    </w:div>
    <w:div w:id="1440177806">
      <w:bodyDiv w:val="1"/>
      <w:marLeft w:val="0"/>
      <w:marRight w:val="0"/>
      <w:marTop w:val="0"/>
      <w:marBottom w:val="0"/>
      <w:divBdr>
        <w:top w:val="none" w:sz="0" w:space="0" w:color="auto"/>
        <w:left w:val="none" w:sz="0" w:space="0" w:color="auto"/>
        <w:bottom w:val="none" w:sz="0" w:space="0" w:color="auto"/>
        <w:right w:val="none" w:sz="0" w:space="0" w:color="auto"/>
      </w:divBdr>
      <w:divsChild>
        <w:div w:id="289626090">
          <w:marLeft w:val="0"/>
          <w:marRight w:val="0"/>
          <w:marTop w:val="0"/>
          <w:marBottom w:val="0"/>
          <w:divBdr>
            <w:top w:val="none" w:sz="0" w:space="0" w:color="auto"/>
            <w:left w:val="none" w:sz="0" w:space="0" w:color="auto"/>
            <w:bottom w:val="none" w:sz="0" w:space="0" w:color="auto"/>
            <w:right w:val="none" w:sz="0" w:space="0" w:color="auto"/>
          </w:divBdr>
          <w:divsChild>
            <w:div w:id="1937900054">
              <w:marLeft w:val="0"/>
              <w:marRight w:val="0"/>
              <w:marTop w:val="112"/>
              <w:marBottom w:val="0"/>
              <w:divBdr>
                <w:top w:val="single" w:sz="8" w:space="6" w:color="666666"/>
                <w:left w:val="none" w:sz="0" w:space="0" w:color="auto"/>
                <w:bottom w:val="none" w:sz="0" w:space="0" w:color="auto"/>
                <w:right w:val="none" w:sz="0" w:space="0" w:color="auto"/>
              </w:divBdr>
            </w:div>
          </w:divsChild>
        </w:div>
      </w:divsChild>
    </w:div>
    <w:div w:id="1521318287">
      <w:bodyDiv w:val="1"/>
      <w:marLeft w:val="0"/>
      <w:marRight w:val="0"/>
      <w:marTop w:val="0"/>
      <w:marBottom w:val="0"/>
      <w:divBdr>
        <w:top w:val="none" w:sz="0" w:space="0" w:color="auto"/>
        <w:left w:val="none" w:sz="0" w:space="0" w:color="auto"/>
        <w:bottom w:val="none" w:sz="0" w:space="0" w:color="auto"/>
        <w:right w:val="none" w:sz="0" w:space="0" w:color="auto"/>
      </w:divBdr>
    </w:div>
    <w:div w:id="1558275126">
      <w:bodyDiv w:val="1"/>
      <w:marLeft w:val="0"/>
      <w:marRight w:val="0"/>
      <w:marTop w:val="0"/>
      <w:marBottom w:val="0"/>
      <w:divBdr>
        <w:top w:val="none" w:sz="0" w:space="0" w:color="auto"/>
        <w:left w:val="none" w:sz="0" w:space="0" w:color="auto"/>
        <w:bottom w:val="none" w:sz="0" w:space="0" w:color="auto"/>
        <w:right w:val="none" w:sz="0" w:space="0" w:color="auto"/>
      </w:divBdr>
    </w:div>
    <w:div w:id="1570656393">
      <w:bodyDiv w:val="1"/>
      <w:marLeft w:val="0"/>
      <w:marRight w:val="0"/>
      <w:marTop w:val="0"/>
      <w:marBottom w:val="0"/>
      <w:divBdr>
        <w:top w:val="none" w:sz="0" w:space="0" w:color="auto"/>
        <w:left w:val="none" w:sz="0" w:space="0" w:color="auto"/>
        <w:bottom w:val="none" w:sz="0" w:space="0" w:color="auto"/>
        <w:right w:val="none" w:sz="0" w:space="0" w:color="auto"/>
      </w:divBdr>
    </w:div>
    <w:div w:id="1590312339">
      <w:bodyDiv w:val="1"/>
      <w:marLeft w:val="0"/>
      <w:marRight w:val="0"/>
      <w:marTop w:val="0"/>
      <w:marBottom w:val="0"/>
      <w:divBdr>
        <w:top w:val="none" w:sz="0" w:space="0" w:color="auto"/>
        <w:left w:val="none" w:sz="0" w:space="0" w:color="auto"/>
        <w:bottom w:val="none" w:sz="0" w:space="0" w:color="auto"/>
        <w:right w:val="none" w:sz="0" w:space="0" w:color="auto"/>
      </w:divBdr>
    </w:div>
    <w:div w:id="1591113431">
      <w:bodyDiv w:val="1"/>
      <w:marLeft w:val="0"/>
      <w:marRight w:val="0"/>
      <w:marTop w:val="0"/>
      <w:marBottom w:val="0"/>
      <w:divBdr>
        <w:top w:val="none" w:sz="0" w:space="0" w:color="auto"/>
        <w:left w:val="none" w:sz="0" w:space="0" w:color="auto"/>
        <w:bottom w:val="none" w:sz="0" w:space="0" w:color="auto"/>
        <w:right w:val="none" w:sz="0" w:space="0" w:color="auto"/>
      </w:divBdr>
    </w:div>
    <w:div w:id="1608730617">
      <w:bodyDiv w:val="1"/>
      <w:marLeft w:val="0"/>
      <w:marRight w:val="0"/>
      <w:marTop w:val="0"/>
      <w:marBottom w:val="0"/>
      <w:divBdr>
        <w:top w:val="none" w:sz="0" w:space="0" w:color="auto"/>
        <w:left w:val="none" w:sz="0" w:space="0" w:color="auto"/>
        <w:bottom w:val="none" w:sz="0" w:space="0" w:color="auto"/>
        <w:right w:val="none" w:sz="0" w:space="0" w:color="auto"/>
      </w:divBdr>
    </w:div>
    <w:div w:id="1650357074">
      <w:bodyDiv w:val="1"/>
      <w:marLeft w:val="0"/>
      <w:marRight w:val="0"/>
      <w:marTop w:val="0"/>
      <w:marBottom w:val="0"/>
      <w:divBdr>
        <w:top w:val="none" w:sz="0" w:space="0" w:color="auto"/>
        <w:left w:val="none" w:sz="0" w:space="0" w:color="auto"/>
        <w:bottom w:val="none" w:sz="0" w:space="0" w:color="auto"/>
        <w:right w:val="none" w:sz="0" w:space="0" w:color="auto"/>
      </w:divBdr>
    </w:div>
    <w:div w:id="1651985673">
      <w:bodyDiv w:val="1"/>
      <w:marLeft w:val="0"/>
      <w:marRight w:val="0"/>
      <w:marTop w:val="0"/>
      <w:marBottom w:val="0"/>
      <w:divBdr>
        <w:top w:val="none" w:sz="0" w:space="0" w:color="auto"/>
        <w:left w:val="none" w:sz="0" w:space="0" w:color="auto"/>
        <w:bottom w:val="none" w:sz="0" w:space="0" w:color="auto"/>
        <w:right w:val="none" w:sz="0" w:space="0" w:color="auto"/>
      </w:divBdr>
    </w:div>
    <w:div w:id="1655404133">
      <w:bodyDiv w:val="1"/>
      <w:marLeft w:val="0"/>
      <w:marRight w:val="0"/>
      <w:marTop w:val="0"/>
      <w:marBottom w:val="0"/>
      <w:divBdr>
        <w:top w:val="none" w:sz="0" w:space="0" w:color="auto"/>
        <w:left w:val="none" w:sz="0" w:space="0" w:color="auto"/>
        <w:bottom w:val="none" w:sz="0" w:space="0" w:color="auto"/>
        <w:right w:val="none" w:sz="0" w:space="0" w:color="auto"/>
      </w:divBdr>
    </w:div>
    <w:div w:id="1685982860">
      <w:bodyDiv w:val="1"/>
      <w:marLeft w:val="0"/>
      <w:marRight w:val="0"/>
      <w:marTop w:val="0"/>
      <w:marBottom w:val="0"/>
      <w:divBdr>
        <w:top w:val="none" w:sz="0" w:space="0" w:color="auto"/>
        <w:left w:val="none" w:sz="0" w:space="0" w:color="auto"/>
        <w:bottom w:val="none" w:sz="0" w:space="0" w:color="auto"/>
        <w:right w:val="none" w:sz="0" w:space="0" w:color="auto"/>
      </w:divBdr>
    </w:div>
    <w:div w:id="1710762358">
      <w:bodyDiv w:val="1"/>
      <w:marLeft w:val="0"/>
      <w:marRight w:val="0"/>
      <w:marTop w:val="0"/>
      <w:marBottom w:val="0"/>
      <w:divBdr>
        <w:top w:val="none" w:sz="0" w:space="0" w:color="auto"/>
        <w:left w:val="none" w:sz="0" w:space="0" w:color="auto"/>
        <w:bottom w:val="none" w:sz="0" w:space="0" w:color="auto"/>
        <w:right w:val="none" w:sz="0" w:space="0" w:color="auto"/>
      </w:divBdr>
    </w:div>
    <w:div w:id="1713655883">
      <w:bodyDiv w:val="1"/>
      <w:marLeft w:val="0"/>
      <w:marRight w:val="0"/>
      <w:marTop w:val="0"/>
      <w:marBottom w:val="0"/>
      <w:divBdr>
        <w:top w:val="none" w:sz="0" w:space="0" w:color="auto"/>
        <w:left w:val="none" w:sz="0" w:space="0" w:color="auto"/>
        <w:bottom w:val="none" w:sz="0" w:space="0" w:color="auto"/>
        <w:right w:val="none" w:sz="0" w:space="0" w:color="auto"/>
      </w:divBdr>
    </w:div>
    <w:div w:id="1776436852">
      <w:bodyDiv w:val="1"/>
      <w:marLeft w:val="0"/>
      <w:marRight w:val="0"/>
      <w:marTop w:val="0"/>
      <w:marBottom w:val="0"/>
      <w:divBdr>
        <w:top w:val="none" w:sz="0" w:space="0" w:color="auto"/>
        <w:left w:val="none" w:sz="0" w:space="0" w:color="auto"/>
        <w:bottom w:val="none" w:sz="0" w:space="0" w:color="auto"/>
        <w:right w:val="none" w:sz="0" w:space="0" w:color="auto"/>
      </w:divBdr>
    </w:div>
    <w:div w:id="1780416675">
      <w:bodyDiv w:val="1"/>
      <w:marLeft w:val="0"/>
      <w:marRight w:val="0"/>
      <w:marTop w:val="0"/>
      <w:marBottom w:val="0"/>
      <w:divBdr>
        <w:top w:val="none" w:sz="0" w:space="0" w:color="auto"/>
        <w:left w:val="none" w:sz="0" w:space="0" w:color="auto"/>
        <w:bottom w:val="none" w:sz="0" w:space="0" w:color="auto"/>
        <w:right w:val="none" w:sz="0" w:space="0" w:color="auto"/>
      </w:divBdr>
    </w:div>
    <w:div w:id="1791243580">
      <w:bodyDiv w:val="1"/>
      <w:marLeft w:val="0"/>
      <w:marRight w:val="0"/>
      <w:marTop w:val="0"/>
      <w:marBottom w:val="0"/>
      <w:divBdr>
        <w:top w:val="none" w:sz="0" w:space="0" w:color="auto"/>
        <w:left w:val="none" w:sz="0" w:space="0" w:color="auto"/>
        <w:bottom w:val="none" w:sz="0" w:space="0" w:color="auto"/>
        <w:right w:val="none" w:sz="0" w:space="0" w:color="auto"/>
      </w:divBdr>
    </w:div>
    <w:div w:id="1820685727">
      <w:bodyDiv w:val="1"/>
      <w:marLeft w:val="0"/>
      <w:marRight w:val="0"/>
      <w:marTop w:val="0"/>
      <w:marBottom w:val="0"/>
      <w:divBdr>
        <w:top w:val="none" w:sz="0" w:space="0" w:color="auto"/>
        <w:left w:val="none" w:sz="0" w:space="0" w:color="auto"/>
        <w:bottom w:val="none" w:sz="0" w:space="0" w:color="auto"/>
        <w:right w:val="none" w:sz="0" w:space="0" w:color="auto"/>
      </w:divBdr>
    </w:div>
    <w:div w:id="1827625693">
      <w:bodyDiv w:val="1"/>
      <w:marLeft w:val="0"/>
      <w:marRight w:val="0"/>
      <w:marTop w:val="0"/>
      <w:marBottom w:val="0"/>
      <w:divBdr>
        <w:top w:val="none" w:sz="0" w:space="0" w:color="auto"/>
        <w:left w:val="none" w:sz="0" w:space="0" w:color="auto"/>
        <w:bottom w:val="none" w:sz="0" w:space="0" w:color="auto"/>
        <w:right w:val="none" w:sz="0" w:space="0" w:color="auto"/>
      </w:divBdr>
    </w:div>
    <w:div w:id="1863129513">
      <w:bodyDiv w:val="1"/>
      <w:marLeft w:val="0"/>
      <w:marRight w:val="0"/>
      <w:marTop w:val="0"/>
      <w:marBottom w:val="0"/>
      <w:divBdr>
        <w:top w:val="none" w:sz="0" w:space="0" w:color="auto"/>
        <w:left w:val="none" w:sz="0" w:space="0" w:color="auto"/>
        <w:bottom w:val="none" w:sz="0" w:space="0" w:color="auto"/>
        <w:right w:val="none" w:sz="0" w:space="0" w:color="auto"/>
      </w:divBdr>
    </w:div>
    <w:div w:id="2056585950">
      <w:bodyDiv w:val="1"/>
      <w:marLeft w:val="0"/>
      <w:marRight w:val="0"/>
      <w:marTop w:val="0"/>
      <w:marBottom w:val="0"/>
      <w:divBdr>
        <w:top w:val="none" w:sz="0" w:space="0" w:color="auto"/>
        <w:left w:val="none" w:sz="0" w:space="0" w:color="auto"/>
        <w:bottom w:val="none" w:sz="0" w:space="0" w:color="auto"/>
        <w:right w:val="none" w:sz="0" w:space="0" w:color="auto"/>
      </w:divBdr>
    </w:div>
    <w:div w:id="2064451587">
      <w:bodyDiv w:val="1"/>
      <w:marLeft w:val="0"/>
      <w:marRight w:val="0"/>
      <w:marTop w:val="0"/>
      <w:marBottom w:val="0"/>
      <w:divBdr>
        <w:top w:val="none" w:sz="0" w:space="0" w:color="auto"/>
        <w:left w:val="none" w:sz="0" w:space="0" w:color="auto"/>
        <w:bottom w:val="none" w:sz="0" w:space="0" w:color="auto"/>
        <w:right w:val="none" w:sz="0" w:space="0" w:color="auto"/>
      </w:divBdr>
    </w:div>
    <w:div w:id="2076586526">
      <w:bodyDiv w:val="1"/>
      <w:marLeft w:val="0"/>
      <w:marRight w:val="0"/>
      <w:marTop w:val="0"/>
      <w:marBottom w:val="0"/>
      <w:divBdr>
        <w:top w:val="none" w:sz="0" w:space="0" w:color="auto"/>
        <w:left w:val="none" w:sz="0" w:space="0" w:color="auto"/>
        <w:bottom w:val="none" w:sz="0" w:space="0" w:color="auto"/>
        <w:right w:val="none" w:sz="0" w:space="0" w:color="auto"/>
      </w:divBdr>
    </w:div>
    <w:div w:id="2084332021">
      <w:bodyDiv w:val="1"/>
      <w:marLeft w:val="0"/>
      <w:marRight w:val="0"/>
      <w:marTop w:val="0"/>
      <w:marBottom w:val="0"/>
      <w:divBdr>
        <w:top w:val="none" w:sz="0" w:space="0" w:color="auto"/>
        <w:left w:val="none" w:sz="0" w:space="0" w:color="auto"/>
        <w:bottom w:val="none" w:sz="0" w:space="0" w:color="auto"/>
        <w:right w:val="none" w:sz="0" w:space="0" w:color="auto"/>
      </w:divBdr>
    </w:div>
    <w:div w:id="2088768842">
      <w:bodyDiv w:val="1"/>
      <w:marLeft w:val="0"/>
      <w:marRight w:val="0"/>
      <w:marTop w:val="0"/>
      <w:marBottom w:val="0"/>
      <w:divBdr>
        <w:top w:val="none" w:sz="0" w:space="0" w:color="auto"/>
        <w:left w:val="none" w:sz="0" w:space="0" w:color="auto"/>
        <w:bottom w:val="none" w:sz="0" w:space="0" w:color="auto"/>
        <w:right w:val="none" w:sz="0" w:space="0" w:color="auto"/>
      </w:divBdr>
    </w:div>
    <w:div w:id="2093623700">
      <w:bodyDiv w:val="1"/>
      <w:marLeft w:val="0"/>
      <w:marRight w:val="0"/>
      <w:marTop w:val="0"/>
      <w:marBottom w:val="0"/>
      <w:divBdr>
        <w:top w:val="none" w:sz="0" w:space="0" w:color="auto"/>
        <w:left w:val="none" w:sz="0" w:space="0" w:color="auto"/>
        <w:bottom w:val="none" w:sz="0" w:space="0" w:color="auto"/>
        <w:right w:val="none" w:sz="0" w:space="0" w:color="auto"/>
      </w:divBdr>
    </w:div>
    <w:div w:id="21395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37"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oter" Target="footer2.xml"/><Relationship Id="rId22" Type="http://schemas.openxmlformats.org/officeDocument/2006/relationships/footer" Target="footer6.xml"/></Relationships>
</file>

<file path=word/_rels/footer4.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header5.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3135</Words>
  <Characters>17872</Characters>
  <Application>Microsoft Office Word</Application>
  <DocSecurity>0</DocSecurity>
  <Lines>148</Lines>
  <Paragraphs>41</Paragraphs>
  <ScaleCrop>false</ScaleCrop>
  <Company/>
  <LinksUpToDate>false</LinksUpToDate>
  <CharactersWithSpaces>20966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2013-01-30T22:57:00Z</dcterms:created>
  <dcterms:modified xsi:type="dcterms:W3CDTF">2013-01-30T22:57:00Z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